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BB2FCF" w14:textId="373DC5C5" w:rsidR="00176565" w:rsidRPr="00C40A01" w:rsidRDefault="00AB7DC7" w:rsidP="009B33EB">
      <w:pPr>
        <w:spacing w:line="360" w:lineRule="auto"/>
        <w:rPr>
          <w:b/>
          <w:sz w:val="24"/>
          <w:szCs w:val="24"/>
        </w:rPr>
      </w:pPr>
      <w:r>
        <w:rPr>
          <w:noProof/>
        </w:rPr>
        <mc:AlternateContent>
          <mc:Choice Requires="wps">
            <w:drawing>
              <wp:anchor distT="0" distB="0" distL="114300" distR="114300" simplePos="0" relativeHeight="251657728" behindDoc="1" locked="0" layoutInCell="1" allowOverlap="1" wp14:anchorId="20778298" wp14:editId="00F0149F">
                <wp:simplePos x="0" y="0"/>
                <wp:positionH relativeFrom="column">
                  <wp:posOffset>-914400</wp:posOffset>
                </wp:positionH>
                <wp:positionV relativeFrom="paragraph">
                  <wp:posOffset>-89535</wp:posOffset>
                </wp:positionV>
                <wp:extent cx="7658100" cy="342900"/>
                <wp:effectExtent l="0" t="0" r="0" b="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342900"/>
                        </a:xfrm>
                        <a:prstGeom prst="rect">
                          <a:avLst/>
                        </a:prstGeom>
                        <a:solidFill>
                          <a:srgbClr val="005195"/>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85E4FA" id="Rectangle 2" o:spid="_x0000_s1026" style="position:absolute;margin-left:-1in;margin-top:-7.05pt;width:603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" fillcolor="#005195" stroked="f"/>
            </w:pict>
          </mc:Fallback>
        </mc:AlternateContent>
      </w:r>
      <w:r w:rsidR="00AA63FB">
        <w:rPr>
          <w:b/>
          <w:color w:val="FFFFFF"/>
          <w:sz w:val="24"/>
          <w:szCs w:val="24"/>
        </w:rPr>
        <w:t>T</w:t>
      </w:r>
      <w:r w:rsidR="009B33EB">
        <w:rPr>
          <w:b/>
          <w:color w:val="FFFFFF"/>
          <w:sz w:val="24"/>
          <w:szCs w:val="24"/>
        </w:rPr>
        <w:t>itel</w:t>
      </w:r>
      <w:r w:rsidR="00EB5BF4">
        <w:rPr>
          <w:b/>
          <w:color w:val="FFFFFF"/>
          <w:sz w:val="24"/>
          <w:szCs w:val="24"/>
        </w:rPr>
        <w:t>: ‘</w:t>
      </w:r>
      <w:r w:rsidR="00FC15E3">
        <w:rPr>
          <w:b/>
          <w:color w:val="FFFFFF"/>
          <w:sz w:val="24"/>
          <w:szCs w:val="24"/>
        </w:rPr>
        <w:t>Mijn eigen buurt(profiel)</w:t>
      </w:r>
    </w:p>
    <w:p w14:paraId="5125FEED" w14:textId="14D2946F" w:rsidR="00697B96" w:rsidRDefault="00AB7DC7" w:rsidP="009B33EB">
      <w:pPr>
        <w:spacing w:line="360" w:lineRule="auto"/>
      </w:pPr>
      <w:r>
        <w:rPr>
          <w:noProof/>
        </w:rPr>
        <mc:AlternateContent>
          <mc:Choice Requires="wps">
            <w:drawing>
              <wp:anchor distT="0" distB="0" distL="114300" distR="114300" simplePos="0" relativeHeight="251659776" behindDoc="1" locked="0" layoutInCell="1" allowOverlap="1" wp14:anchorId="23D9BFF0" wp14:editId="44B953D9">
                <wp:simplePos x="0" y="0"/>
                <wp:positionH relativeFrom="page">
                  <wp:posOffset>-69215</wp:posOffset>
                </wp:positionH>
                <wp:positionV relativeFrom="paragraph">
                  <wp:posOffset>193040</wp:posOffset>
                </wp:positionV>
                <wp:extent cx="7667625" cy="257175"/>
                <wp:effectExtent l="0" t="0" r="0" b="0"/>
                <wp:wrapNone/>
                <wp:docPr id="3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7625" cy="257175"/>
                        </a:xfrm>
                        <a:prstGeom prst="rect">
                          <a:avLst/>
                        </a:prstGeom>
                        <a:solidFill>
                          <a:srgbClr val="1E6FB3"/>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B21453" id="Rectangle 12" o:spid="_x0000_s1026" style="position:absolute;margin-left:-5.45pt;margin-top:15.2pt;width:603.75pt;height:20.2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" fillcolor="#1e6fb3" stroked="f">
                <w10:wrap anchorx="page"/>
              </v:rect>
            </w:pict>
          </mc:Fallback>
        </mc:AlternateContent>
      </w:r>
    </w:p>
    <w:p w14:paraId="39B1A510" w14:textId="77777777" w:rsidR="00697B96" w:rsidRPr="00697B96" w:rsidRDefault="00697B96" w:rsidP="009B33EB">
      <w:pPr>
        <w:spacing w:line="360" w:lineRule="auto"/>
        <w:rPr>
          <w:b/>
          <w:color w:val="FFFFFF" w:themeColor="background1"/>
        </w:rPr>
      </w:pPr>
      <w:r>
        <w:rPr>
          <w:b/>
          <w:color w:val="FFFFFF" w:themeColor="background1"/>
        </w:rPr>
        <w:t>Docenthandleiding</w:t>
      </w:r>
    </w:p>
    <w:p w14:paraId="45BC615D" w14:textId="3DB5B954" w:rsidR="000B114E" w:rsidRDefault="004A3097" w:rsidP="00817157">
      <w:pPr>
        <w:spacing w:line="276" w:lineRule="auto"/>
        <w:rPr>
          <w:b/>
        </w:rPr>
      </w:pPr>
      <w:r>
        <w:rPr>
          <w:b/>
        </w:rPr>
        <w:br/>
      </w:r>
      <w:r w:rsidRPr="00E71008">
        <w:rPr>
          <w:b/>
        </w:rPr>
        <w:t>Eindtermen</w:t>
      </w:r>
    </w:p>
    <w:p w14:paraId="288136A2" w14:textId="77777777" w:rsidR="00FC15E3" w:rsidRDefault="00FC15E3" w:rsidP="00FC15E3">
      <w:pPr>
        <w:spacing w:line="276" w:lineRule="auto"/>
      </w:pPr>
      <w:r>
        <w:t>Domein E: Leefomgeving</w:t>
      </w:r>
    </w:p>
    <w:p w14:paraId="74BE549A" w14:textId="77777777" w:rsidR="00FC15E3" w:rsidRDefault="00FC15E3" w:rsidP="00FC15E3">
      <w:pPr>
        <w:spacing w:line="276" w:lineRule="auto"/>
      </w:pPr>
      <w:proofErr w:type="spellStart"/>
      <w:r>
        <w:t>Subdomein</w:t>
      </w:r>
      <w:proofErr w:type="spellEnd"/>
      <w:r>
        <w:t xml:space="preserve"> E1: Nationale en regionale vraagstukken</w:t>
      </w:r>
    </w:p>
    <w:p w14:paraId="44C08FFB" w14:textId="77777777" w:rsidR="00FC15E3" w:rsidRDefault="00FC15E3" w:rsidP="00FC15E3">
      <w:pPr>
        <w:spacing w:line="276" w:lineRule="auto"/>
      </w:pPr>
    </w:p>
    <w:p w14:paraId="2A60775D" w14:textId="77777777" w:rsidR="00FC15E3" w:rsidRDefault="00FC15E3" w:rsidP="00FC15E3">
      <w:pPr>
        <w:spacing w:line="276" w:lineRule="auto"/>
      </w:pPr>
      <w:r>
        <w:t>11b. De kandidaat kan zich een beargumenteerde mening vormen over</w:t>
      </w:r>
    </w:p>
    <w:p w14:paraId="51CFE2D5" w14:textId="77777777" w:rsidR="00FC15E3" w:rsidRDefault="00FC15E3" w:rsidP="00FC15E3">
      <w:pPr>
        <w:spacing w:line="276" w:lineRule="auto"/>
      </w:pPr>
    </w:p>
    <w:p w14:paraId="2F3DDA20" w14:textId="77777777" w:rsidR="00FC15E3" w:rsidRDefault="00FC15E3" w:rsidP="00FC15E3">
      <w:pPr>
        <w:spacing w:line="276" w:lineRule="auto"/>
      </w:pPr>
      <w:r>
        <w:t>11b2: leefbaarheid en stedelijk beleid op wijk- en buurtniveau in Nederlandse steden:</w:t>
      </w:r>
    </w:p>
    <w:p w14:paraId="72E5C1CF" w14:textId="77777777" w:rsidR="00FC15E3" w:rsidRDefault="00FC15E3" w:rsidP="00FC15E3">
      <w:pPr>
        <w:spacing w:line="276" w:lineRule="auto"/>
      </w:pPr>
    </w:p>
    <w:p w14:paraId="73490746" w14:textId="77777777" w:rsidR="00FC15E3" w:rsidRDefault="00FC15E3" w:rsidP="00FC15E3">
      <w:pPr>
        <w:spacing w:line="276" w:lineRule="auto"/>
      </w:pPr>
      <w:r>
        <w:t>In dat verband kan de kandidaat:</w:t>
      </w:r>
    </w:p>
    <w:p w14:paraId="16F0BE46" w14:textId="31DD443E" w:rsidR="00FC15E3" w:rsidRDefault="00FC15E3" w:rsidP="00FC15E3">
      <w:pPr>
        <w:pStyle w:val="Lijstalinea"/>
        <w:numPr>
          <w:ilvl w:val="0"/>
          <w:numId w:val="43"/>
        </w:numPr>
        <w:spacing w:line="276" w:lineRule="auto"/>
      </w:pPr>
      <w:r>
        <w:t>Een buurtprofiel van een stedelijke buurt beschrijven aan de hand van fysiekruimtelijke en sociale elementen en beargumenteerde uitspraken doen over leefbaarheid.</w:t>
      </w:r>
    </w:p>
    <w:p w14:paraId="2CC03FF9" w14:textId="77777777" w:rsidR="00FC15E3" w:rsidRDefault="00FC15E3" w:rsidP="00FC15E3">
      <w:pPr>
        <w:spacing w:line="276" w:lineRule="auto"/>
      </w:pPr>
    </w:p>
    <w:p w14:paraId="6663044D" w14:textId="77777777" w:rsidR="00FC15E3" w:rsidRPr="00FC15E3" w:rsidRDefault="00FC15E3" w:rsidP="00FC15E3">
      <w:pPr>
        <w:spacing w:line="276" w:lineRule="auto"/>
        <w:rPr>
          <w:b/>
          <w:bCs/>
        </w:rPr>
      </w:pPr>
      <w:r w:rsidRPr="00FC15E3">
        <w:rPr>
          <w:b/>
          <w:bCs/>
        </w:rPr>
        <w:t>Stap 1</w:t>
      </w:r>
    </w:p>
    <w:p w14:paraId="7FA8FDCC" w14:textId="77777777" w:rsidR="00FC15E3" w:rsidRDefault="00FC15E3" w:rsidP="00FC15E3">
      <w:pPr>
        <w:pStyle w:val="Lijstalinea"/>
        <w:numPr>
          <w:ilvl w:val="0"/>
          <w:numId w:val="41"/>
        </w:numPr>
        <w:spacing w:line="276" w:lineRule="auto"/>
      </w:pPr>
      <w:r>
        <w:t>2,2</w:t>
      </w:r>
    </w:p>
    <w:p w14:paraId="111D76AB" w14:textId="77777777" w:rsidR="00FC15E3" w:rsidRDefault="00FC15E3" w:rsidP="00FC15E3">
      <w:pPr>
        <w:pStyle w:val="Lijstalinea"/>
        <w:numPr>
          <w:ilvl w:val="0"/>
          <w:numId w:val="41"/>
        </w:numPr>
        <w:spacing w:line="276" w:lineRule="auto"/>
      </w:pPr>
      <w:r>
        <w:t>–</w:t>
      </w:r>
    </w:p>
    <w:p w14:paraId="325E45D4" w14:textId="77777777" w:rsidR="00FC15E3" w:rsidRDefault="00FC15E3" w:rsidP="00FC15E3">
      <w:pPr>
        <w:pStyle w:val="Lijstalinea"/>
        <w:numPr>
          <w:ilvl w:val="0"/>
          <w:numId w:val="41"/>
        </w:numPr>
        <w:spacing w:line="276" w:lineRule="auto"/>
      </w:pPr>
      <w:r>
        <w:t>–</w:t>
      </w:r>
    </w:p>
    <w:p w14:paraId="65A9A955" w14:textId="77777777" w:rsidR="00FC15E3" w:rsidRDefault="00FC15E3" w:rsidP="00FC15E3">
      <w:pPr>
        <w:pStyle w:val="Lijstalinea"/>
        <w:numPr>
          <w:ilvl w:val="0"/>
          <w:numId w:val="41"/>
        </w:numPr>
        <w:spacing w:line="276" w:lineRule="auto"/>
      </w:pPr>
      <w:r>
        <w:t>Geen informatie over woningkenmerk ‘naar onderhoud’ en geen informatie over bewonerskenmerk ‘naar gezinsfase’.</w:t>
      </w:r>
    </w:p>
    <w:p w14:paraId="38D2217C" w14:textId="77777777" w:rsidR="00FC15E3" w:rsidRDefault="00FC15E3" w:rsidP="00FC15E3">
      <w:pPr>
        <w:spacing w:line="276" w:lineRule="auto"/>
      </w:pPr>
    </w:p>
    <w:p w14:paraId="705B5255" w14:textId="77777777" w:rsidR="00FC15E3" w:rsidRPr="00FC15E3" w:rsidRDefault="00FC15E3" w:rsidP="00FC15E3">
      <w:pPr>
        <w:spacing w:line="276" w:lineRule="auto"/>
        <w:rPr>
          <w:b/>
          <w:bCs/>
        </w:rPr>
      </w:pPr>
      <w:r w:rsidRPr="00FC15E3">
        <w:rPr>
          <w:b/>
          <w:bCs/>
        </w:rPr>
        <w:t>Stap 2</w:t>
      </w:r>
    </w:p>
    <w:p w14:paraId="7A72813C" w14:textId="77777777" w:rsidR="00FC15E3" w:rsidRDefault="00FC15E3" w:rsidP="00FC15E3">
      <w:pPr>
        <w:pStyle w:val="Lijstalinea"/>
        <w:numPr>
          <w:ilvl w:val="0"/>
          <w:numId w:val="41"/>
        </w:numPr>
        <w:spacing w:line="276" w:lineRule="auto"/>
      </w:pPr>
      <w:r>
        <w:t xml:space="preserve">Kekerdom. Dat zie je bij Statline aan het aantal eengezinswoningen (Kekerdom: 94%, Kinkerbuurt: 2%). </w:t>
      </w:r>
    </w:p>
    <w:p w14:paraId="15D4CC77" w14:textId="77777777" w:rsidR="00FC15E3" w:rsidRDefault="00FC15E3" w:rsidP="00FC15E3">
      <w:pPr>
        <w:pStyle w:val="Lijstalinea"/>
        <w:numPr>
          <w:ilvl w:val="0"/>
          <w:numId w:val="41"/>
        </w:numPr>
        <w:spacing w:line="276" w:lineRule="auto"/>
      </w:pPr>
      <w:r>
        <w:t>1: De bewonersdichtheid in de Kinkerbuurt is veel groter dan die in Kekerdom. In de Kinkerbuurt: 6345:27 ha = 235 inwoners per hectare. In Kekerdom: 485:45 ha = minder dan 11 inwoners per hectare. Als je dit vergelijkt met het aantal eengezinswoningen kun je er van uit gaan dat de woningen in de Kinkerbuurt vooral uit flats moeten bestaan.</w:t>
      </w:r>
      <w:r>
        <w:br/>
        <w:t>2: Het aantal mensen boven de 65 is in de Kinkerbuurt (7,5%) veel lager dan in Kekerdom (20%). Mocht Statline aantallen geven, dan moeten de leerlingen het percentage zelf uitrekenen.</w:t>
      </w:r>
    </w:p>
    <w:p w14:paraId="1FB4B9D7" w14:textId="77777777" w:rsidR="00FC15E3" w:rsidRDefault="00FC15E3" w:rsidP="00FC15E3">
      <w:pPr>
        <w:pStyle w:val="Lijstalinea"/>
        <w:numPr>
          <w:ilvl w:val="0"/>
          <w:numId w:val="41"/>
        </w:numPr>
        <w:spacing w:line="276" w:lineRule="auto"/>
      </w:pPr>
      <w:r>
        <w:t>–</w:t>
      </w:r>
    </w:p>
    <w:p w14:paraId="734A20F4" w14:textId="77777777" w:rsidR="00FC15E3" w:rsidRDefault="00FC15E3" w:rsidP="00FC15E3">
      <w:pPr>
        <w:pStyle w:val="Lijstalinea"/>
        <w:numPr>
          <w:ilvl w:val="0"/>
          <w:numId w:val="41"/>
        </w:numPr>
        <w:spacing w:line="276" w:lineRule="auto"/>
      </w:pPr>
      <w:r>
        <w:t>St. Laurentiuskerk uit 1400 (denk terug aan vraag 3: met rechtermuisklik verschijnt het exacte jaartal).</w:t>
      </w:r>
    </w:p>
    <w:p w14:paraId="7DDF2527" w14:textId="77777777" w:rsidR="00FC15E3" w:rsidRDefault="00FC15E3" w:rsidP="00FC15E3">
      <w:pPr>
        <w:pStyle w:val="Lijstalinea"/>
        <w:numPr>
          <w:ilvl w:val="0"/>
          <w:numId w:val="41"/>
        </w:numPr>
        <w:spacing w:line="276" w:lineRule="auto"/>
      </w:pPr>
      <w:r>
        <w:t xml:space="preserve">Kekerdom: 1,3 auto per huishouden. Kinkerbuurt: 0,3 auto per huishouden. Je kunt aan de vorm van de buurt zien dat Kekerdom een dorp is. Je ziet aan de </w:t>
      </w:r>
      <w:proofErr w:type="spellStart"/>
      <w:r>
        <w:t>EduGIS</w:t>
      </w:r>
      <w:proofErr w:type="spellEnd"/>
      <w:r>
        <w:t xml:space="preserve"> ook dat het dorp vrijwel geen voorzieningen heeft, in tegenstelling tot bijvoorbeeld de Kinkerbuurt, dat veel voorzieningen in de buurt heeft. Voor alles moet je in Kekerdom verder reizen en dan is een auto blijkbaar makkelijker. En het parkeerprobleem is in Kekerdom vast kleiner dan in de Kinkerbuurt.</w:t>
      </w:r>
    </w:p>
    <w:p w14:paraId="74A13463" w14:textId="77777777" w:rsidR="00FC15E3" w:rsidRDefault="00FC15E3" w:rsidP="00FC15E3">
      <w:pPr>
        <w:pStyle w:val="Lijstalinea"/>
        <w:numPr>
          <w:ilvl w:val="0"/>
          <w:numId w:val="41"/>
        </w:numPr>
        <w:spacing w:line="276" w:lineRule="auto"/>
      </w:pPr>
      <w:r>
        <w:t xml:space="preserve">De gemiddelde waarde van woningen heeft te maken met de stijging in de afgelopen vijf jaar. In 2005 was de gemiddelde waarde van de woningen in Kekerdom € 231.000 </w:t>
      </w:r>
      <w:proofErr w:type="gramStart"/>
      <w:r>
        <w:t>tegenover  €</w:t>
      </w:r>
      <w:proofErr w:type="gramEnd"/>
      <w:r>
        <w:t> 247.000 in 2010, een stijging van zo’n 7%. In diezelfde tijd steeg de gemiddelde waarde van de woningen in de Kinkerbuurt van € 178.000 (in 2005) naar € 245.000 (in 2010), een stijging van 37%!</w:t>
      </w:r>
    </w:p>
    <w:p w14:paraId="6763B778" w14:textId="77777777" w:rsidR="00FC15E3" w:rsidRDefault="00FC15E3" w:rsidP="00FC15E3">
      <w:pPr>
        <w:spacing w:line="276" w:lineRule="auto"/>
      </w:pPr>
    </w:p>
    <w:p w14:paraId="77825A05" w14:textId="77777777" w:rsidR="00FC15E3" w:rsidRPr="00FC15E3" w:rsidRDefault="00FC15E3" w:rsidP="00FC15E3">
      <w:pPr>
        <w:spacing w:line="276" w:lineRule="auto"/>
        <w:rPr>
          <w:b/>
          <w:bCs/>
        </w:rPr>
      </w:pPr>
      <w:r w:rsidRPr="00FC15E3">
        <w:rPr>
          <w:b/>
          <w:bCs/>
        </w:rPr>
        <w:lastRenderedPageBreak/>
        <w:t xml:space="preserve">Stap 3 </w:t>
      </w:r>
    </w:p>
    <w:p w14:paraId="5EC47371" w14:textId="77777777" w:rsidR="00FC15E3" w:rsidRDefault="00FC15E3" w:rsidP="00FC15E3">
      <w:pPr>
        <w:pStyle w:val="Lijstalinea"/>
        <w:numPr>
          <w:ilvl w:val="0"/>
          <w:numId w:val="41"/>
        </w:numPr>
        <w:spacing w:line="276" w:lineRule="auto"/>
        <w:ind w:left="851" w:hanging="491"/>
      </w:pPr>
      <w:r>
        <w:t>De meest waarschijnlijk keuze is de Kinkerbuurt: 65% van alle bewoners is alleenstaand (tegenover 14% in Kekerdom). Het antwoord hangt verder af van de gegevens van de huishoudensgrootte van de eigen wijk van de leerlingen.</w:t>
      </w:r>
    </w:p>
    <w:p w14:paraId="318D992F" w14:textId="77777777" w:rsidR="00FC15E3" w:rsidRDefault="00FC15E3" w:rsidP="00FC15E3">
      <w:pPr>
        <w:pStyle w:val="Lijstalinea"/>
        <w:numPr>
          <w:ilvl w:val="0"/>
          <w:numId w:val="41"/>
        </w:numPr>
        <w:spacing w:line="276" w:lineRule="auto"/>
        <w:ind w:left="851" w:hanging="491"/>
      </w:pPr>
      <w:r>
        <w:t>In de Kinkerbuurt is 43% allochtoon (24% van niet-westerse afkomst); in Kekerdom is dat 13% (en maar 2% van niet-westerse afkomst en 0% met een Antilliaanse of Surinaamse afkomst).</w:t>
      </w:r>
    </w:p>
    <w:p w14:paraId="203A5F77" w14:textId="77777777" w:rsidR="00FC15E3" w:rsidRDefault="00FC15E3" w:rsidP="00FC15E3">
      <w:pPr>
        <w:pStyle w:val="Lijstalinea"/>
        <w:numPr>
          <w:ilvl w:val="0"/>
          <w:numId w:val="41"/>
        </w:numPr>
        <w:spacing w:line="276" w:lineRule="auto"/>
        <w:ind w:left="851" w:hanging="491"/>
      </w:pPr>
      <w:r>
        <w:t xml:space="preserve">In de Kinkerbuurt is het gemiddelde inkomen per inkomstenontvanger gestegen </w:t>
      </w:r>
      <w:proofErr w:type="gramStart"/>
      <w:r>
        <w:t>van  €</w:t>
      </w:r>
      <w:proofErr w:type="gramEnd"/>
      <w:r>
        <w:t> 16.000 (2005) naar € 28.900 (2010) en het aantal laagverdienenden gedaald is van 46% naar 43%. In Kekerdom is het gemiddelde inkomen per inkomstenontvanger gestegen van € 19.000 (2005) naar € 29.300, maar het aantal laagverdienenden is juist gestegen van 32% in 2005 naar 38% in 2010.</w:t>
      </w:r>
    </w:p>
    <w:p w14:paraId="7A6D2554" w14:textId="77777777" w:rsidR="00FC15E3" w:rsidRDefault="00FC15E3" w:rsidP="00FC15E3">
      <w:pPr>
        <w:pStyle w:val="Lijstalinea"/>
        <w:numPr>
          <w:ilvl w:val="0"/>
          <w:numId w:val="41"/>
        </w:numPr>
        <w:spacing w:line="276" w:lineRule="auto"/>
        <w:ind w:left="851" w:hanging="491"/>
      </w:pPr>
      <w:r>
        <w:t xml:space="preserve">Bij </w:t>
      </w:r>
      <w:proofErr w:type="spellStart"/>
      <w:r>
        <w:t>EduGIS</w:t>
      </w:r>
      <w:proofErr w:type="spellEnd"/>
      <w:r>
        <w:t xml:space="preserve"> is dat nauwelijks te zien. In 2005 was 44% allochtoon (27% van niet-westerse afkomst), in 2010 was dat nog steeds 43% (24% van niet-westerse afkomst).</w:t>
      </w:r>
    </w:p>
    <w:p w14:paraId="483E0432" w14:textId="77777777" w:rsidR="00FC15E3" w:rsidRDefault="00FC15E3" w:rsidP="00FC15E3">
      <w:pPr>
        <w:pStyle w:val="Lijstalinea"/>
        <w:numPr>
          <w:ilvl w:val="0"/>
          <w:numId w:val="41"/>
        </w:numPr>
        <w:spacing w:line="276" w:lineRule="auto"/>
        <w:ind w:left="851" w:hanging="491"/>
      </w:pPr>
      <w:r>
        <w:t xml:space="preserve">In Kekerdom daalde het aantal jongeren van 10-14 jaar van 22% (2005) naar 13% (2010). In die tijd steeg het aantal jongeren van 15-24 van 9% naar 16%. In diezelfde tijd steeg de leeftijd van de ouders mee (25-44 jaar: 27% in 2005 en 18% in 2010; 45-64 jaar: 30% in 2005 naar 41% in 2010). In de Kinkerbuurt zijn er amper verschuivingen: </w:t>
      </w:r>
      <w:r>
        <w:br/>
      </w:r>
    </w:p>
    <w:tbl>
      <w:tblPr>
        <w:tblStyle w:val="Tabelraster"/>
        <w:tblW w:w="0" w:type="auto"/>
        <w:tblInd w:w="851" w:type="dxa"/>
        <w:tblLook w:val="04A0" w:firstRow="1" w:lastRow="0" w:firstColumn="1" w:lastColumn="0" w:noHBand="0" w:noVBand="1"/>
      </w:tblPr>
      <w:tblGrid>
        <w:gridCol w:w="1696"/>
        <w:gridCol w:w="785"/>
        <w:gridCol w:w="785"/>
        <w:gridCol w:w="785"/>
        <w:gridCol w:w="1359"/>
        <w:gridCol w:w="785"/>
        <w:gridCol w:w="785"/>
      </w:tblGrid>
      <w:tr w:rsidR="00FC15E3" w14:paraId="381E65E3" w14:textId="77777777" w:rsidTr="00D83691">
        <w:tc>
          <w:tcPr>
            <w:tcW w:w="1696" w:type="dxa"/>
          </w:tcPr>
          <w:p w14:paraId="0E33D599" w14:textId="77777777" w:rsidR="00FC15E3" w:rsidRPr="00C71C72" w:rsidRDefault="00FC15E3" w:rsidP="00D83691">
            <w:pPr>
              <w:pStyle w:val="Lijstalinea"/>
              <w:spacing w:line="276" w:lineRule="auto"/>
              <w:ind w:left="0"/>
              <w:rPr>
                <w:b/>
              </w:rPr>
            </w:pPr>
            <w:r>
              <w:rPr>
                <w:b/>
              </w:rPr>
              <w:t>Kinkerbuurt</w:t>
            </w:r>
          </w:p>
        </w:tc>
        <w:tc>
          <w:tcPr>
            <w:tcW w:w="785" w:type="dxa"/>
          </w:tcPr>
          <w:p w14:paraId="7596037A" w14:textId="77777777" w:rsidR="00FC15E3" w:rsidRPr="00C71C72" w:rsidRDefault="00FC15E3" w:rsidP="00D83691">
            <w:pPr>
              <w:pStyle w:val="Lijstalinea"/>
              <w:spacing w:line="276" w:lineRule="auto"/>
              <w:ind w:left="0"/>
              <w:rPr>
                <w:b/>
              </w:rPr>
            </w:pPr>
            <w:r w:rsidRPr="00C71C72">
              <w:rPr>
                <w:b/>
              </w:rPr>
              <w:t>2005</w:t>
            </w:r>
          </w:p>
        </w:tc>
        <w:tc>
          <w:tcPr>
            <w:tcW w:w="785" w:type="dxa"/>
          </w:tcPr>
          <w:p w14:paraId="171068AB" w14:textId="77777777" w:rsidR="00FC15E3" w:rsidRPr="00C71C72" w:rsidRDefault="00FC15E3" w:rsidP="00D83691">
            <w:pPr>
              <w:pStyle w:val="Lijstalinea"/>
              <w:spacing w:line="276" w:lineRule="auto"/>
              <w:ind w:left="0"/>
              <w:rPr>
                <w:b/>
              </w:rPr>
            </w:pPr>
            <w:r w:rsidRPr="00C71C72">
              <w:rPr>
                <w:b/>
              </w:rPr>
              <w:t>2010</w:t>
            </w:r>
          </w:p>
        </w:tc>
        <w:tc>
          <w:tcPr>
            <w:tcW w:w="785" w:type="dxa"/>
            <w:tcBorders>
              <w:top w:val="nil"/>
              <w:bottom w:val="nil"/>
            </w:tcBorders>
          </w:tcPr>
          <w:p w14:paraId="6B8C19A5" w14:textId="77777777" w:rsidR="00FC15E3" w:rsidRPr="00C71C72" w:rsidRDefault="00FC15E3" w:rsidP="00D83691">
            <w:pPr>
              <w:pStyle w:val="Lijstalinea"/>
              <w:spacing w:line="276" w:lineRule="auto"/>
              <w:ind w:left="0"/>
              <w:rPr>
                <w:b/>
              </w:rPr>
            </w:pPr>
          </w:p>
        </w:tc>
        <w:tc>
          <w:tcPr>
            <w:tcW w:w="1359" w:type="dxa"/>
          </w:tcPr>
          <w:p w14:paraId="78C0D19D" w14:textId="77777777" w:rsidR="00FC15E3" w:rsidRPr="00C71C72" w:rsidRDefault="00FC15E3" w:rsidP="00D83691">
            <w:pPr>
              <w:pStyle w:val="Lijstalinea"/>
              <w:spacing w:line="276" w:lineRule="auto"/>
              <w:ind w:left="0"/>
              <w:rPr>
                <w:b/>
              </w:rPr>
            </w:pPr>
            <w:r w:rsidRPr="00C71C72">
              <w:rPr>
                <w:b/>
              </w:rPr>
              <w:t>Kekerdom</w:t>
            </w:r>
          </w:p>
        </w:tc>
        <w:tc>
          <w:tcPr>
            <w:tcW w:w="785" w:type="dxa"/>
          </w:tcPr>
          <w:p w14:paraId="18366BD9" w14:textId="77777777" w:rsidR="00FC15E3" w:rsidRPr="00C71C72" w:rsidRDefault="00FC15E3" w:rsidP="00D83691">
            <w:pPr>
              <w:pStyle w:val="Lijstalinea"/>
              <w:spacing w:line="276" w:lineRule="auto"/>
              <w:ind w:left="0"/>
              <w:rPr>
                <w:b/>
              </w:rPr>
            </w:pPr>
            <w:r>
              <w:rPr>
                <w:b/>
              </w:rPr>
              <w:t>2005</w:t>
            </w:r>
          </w:p>
        </w:tc>
        <w:tc>
          <w:tcPr>
            <w:tcW w:w="785" w:type="dxa"/>
          </w:tcPr>
          <w:p w14:paraId="7AD42863" w14:textId="77777777" w:rsidR="00FC15E3" w:rsidRPr="00C71C72" w:rsidRDefault="00FC15E3" w:rsidP="00D83691">
            <w:pPr>
              <w:pStyle w:val="Lijstalinea"/>
              <w:spacing w:line="276" w:lineRule="auto"/>
              <w:ind w:left="0"/>
              <w:rPr>
                <w:b/>
              </w:rPr>
            </w:pPr>
            <w:r>
              <w:rPr>
                <w:b/>
              </w:rPr>
              <w:t>2010</w:t>
            </w:r>
          </w:p>
        </w:tc>
      </w:tr>
      <w:tr w:rsidR="00FC15E3" w14:paraId="27781C27" w14:textId="77777777" w:rsidTr="00D83691">
        <w:trPr>
          <w:trHeight w:val="139"/>
        </w:trPr>
        <w:tc>
          <w:tcPr>
            <w:tcW w:w="1696" w:type="dxa"/>
          </w:tcPr>
          <w:p w14:paraId="01377C20" w14:textId="77777777" w:rsidR="00FC15E3" w:rsidRDefault="00FC15E3" w:rsidP="00D83691">
            <w:pPr>
              <w:pStyle w:val="Lijstalinea"/>
              <w:spacing w:line="276" w:lineRule="auto"/>
              <w:ind w:left="0"/>
            </w:pPr>
            <w:r>
              <w:t>0-14 jaar</w:t>
            </w:r>
          </w:p>
        </w:tc>
        <w:tc>
          <w:tcPr>
            <w:tcW w:w="785" w:type="dxa"/>
          </w:tcPr>
          <w:p w14:paraId="48A1961D" w14:textId="77777777" w:rsidR="00FC15E3" w:rsidRDefault="00FC15E3" w:rsidP="00D83691">
            <w:pPr>
              <w:pStyle w:val="Lijstalinea"/>
              <w:spacing w:line="276" w:lineRule="auto"/>
              <w:ind w:left="0"/>
            </w:pPr>
            <w:r>
              <w:t>11%</w:t>
            </w:r>
          </w:p>
        </w:tc>
        <w:tc>
          <w:tcPr>
            <w:tcW w:w="785" w:type="dxa"/>
          </w:tcPr>
          <w:p w14:paraId="7A08C31B" w14:textId="77777777" w:rsidR="00FC15E3" w:rsidRDefault="00FC15E3" w:rsidP="00D83691">
            <w:pPr>
              <w:pStyle w:val="Lijstalinea"/>
              <w:spacing w:line="276" w:lineRule="auto"/>
              <w:ind w:left="0"/>
            </w:pPr>
            <w:r>
              <w:t>10%</w:t>
            </w:r>
          </w:p>
        </w:tc>
        <w:tc>
          <w:tcPr>
            <w:tcW w:w="785" w:type="dxa"/>
            <w:tcBorders>
              <w:top w:val="nil"/>
              <w:bottom w:val="nil"/>
            </w:tcBorders>
          </w:tcPr>
          <w:p w14:paraId="3D31CFAE" w14:textId="77777777" w:rsidR="00FC15E3" w:rsidRDefault="00FC15E3" w:rsidP="00D83691">
            <w:pPr>
              <w:pStyle w:val="Lijstalinea"/>
              <w:spacing w:line="276" w:lineRule="auto"/>
              <w:ind w:left="0"/>
            </w:pPr>
          </w:p>
        </w:tc>
        <w:tc>
          <w:tcPr>
            <w:tcW w:w="1359" w:type="dxa"/>
          </w:tcPr>
          <w:p w14:paraId="3AF91D34" w14:textId="77777777" w:rsidR="00FC15E3" w:rsidRDefault="00FC15E3" w:rsidP="00D83691">
            <w:pPr>
              <w:pStyle w:val="Lijstalinea"/>
              <w:spacing w:line="276" w:lineRule="auto"/>
              <w:ind w:left="0"/>
            </w:pPr>
            <w:r>
              <w:t>0-14 jaar</w:t>
            </w:r>
          </w:p>
        </w:tc>
        <w:tc>
          <w:tcPr>
            <w:tcW w:w="785" w:type="dxa"/>
          </w:tcPr>
          <w:p w14:paraId="01E22950" w14:textId="77777777" w:rsidR="00FC15E3" w:rsidRDefault="00FC15E3" w:rsidP="00D83691">
            <w:pPr>
              <w:pStyle w:val="Lijstalinea"/>
              <w:spacing w:line="276" w:lineRule="auto"/>
              <w:ind w:left="0"/>
            </w:pPr>
            <w:r>
              <w:t>22%</w:t>
            </w:r>
          </w:p>
        </w:tc>
        <w:tc>
          <w:tcPr>
            <w:tcW w:w="785" w:type="dxa"/>
          </w:tcPr>
          <w:p w14:paraId="5C57983C" w14:textId="77777777" w:rsidR="00FC15E3" w:rsidRDefault="00FC15E3" w:rsidP="00D83691">
            <w:pPr>
              <w:pStyle w:val="Lijstalinea"/>
              <w:spacing w:line="276" w:lineRule="auto"/>
              <w:ind w:left="0"/>
            </w:pPr>
            <w:r>
              <w:t>13%</w:t>
            </w:r>
          </w:p>
        </w:tc>
      </w:tr>
      <w:tr w:rsidR="00FC15E3" w14:paraId="22CF6991" w14:textId="77777777" w:rsidTr="00D83691">
        <w:tc>
          <w:tcPr>
            <w:tcW w:w="1696" w:type="dxa"/>
          </w:tcPr>
          <w:p w14:paraId="45DCD34B" w14:textId="77777777" w:rsidR="00FC15E3" w:rsidRDefault="00FC15E3" w:rsidP="00D83691">
            <w:pPr>
              <w:pStyle w:val="Lijstalinea"/>
              <w:spacing w:line="276" w:lineRule="auto"/>
              <w:ind w:left="0"/>
            </w:pPr>
            <w:r>
              <w:t>15-24 jaar</w:t>
            </w:r>
          </w:p>
        </w:tc>
        <w:tc>
          <w:tcPr>
            <w:tcW w:w="785" w:type="dxa"/>
          </w:tcPr>
          <w:p w14:paraId="43A2B6E4" w14:textId="77777777" w:rsidR="00FC15E3" w:rsidRDefault="00FC15E3" w:rsidP="00D83691">
            <w:pPr>
              <w:pStyle w:val="Lijstalinea"/>
              <w:spacing w:line="276" w:lineRule="auto"/>
              <w:ind w:left="0"/>
            </w:pPr>
            <w:r>
              <w:t>12%</w:t>
            </w:r>
          </w:p>
        </w:tc>
        <w:tc>
          <w:tcPr>
            <w:tcW w:w="785" w:type="dxa"/>
          </w:tcPr>
          <w:p w14:paraId="544F3014" w14:textId="77777777" w:rsidR="00FC15E3" w:rsidRDefault="00FC15E3" w:rsidP="00D83691">
            <w:pPr>
              <w:pStyle w:val="Lijstalinea"/>
              <w:spacing w:line="276" w:lineRule="auto"/>
              <w:ind w:left="0"/>
            </w:pPr>
            <w:r>
              <w:t>12%</w:t>
            </w:r>
          </w:p>
        </w:tc>
        <w:tc>
          <w:tcPr>
            <w:tcW w:w="785" w:type="dxa"/>
            <w:tcBorders>
              <w:top w:val="nil"/>
              <w:bottom w:val="nil"/>
            </w:tcBorders>
          </w:tcPr>
          <w:p w14:paraId="7CF454A4" w14:textId="77777777" w:rsidR="00FC15E3" w:rsidRDefault="00FC15E3" w:rsidP="00D83691">
            <w:pPr>
              <w:pStyle w:val="Lijstalinea"/>
              <w:spacing w:line="276" w:lineRule="auto"/>
              <w:ind w:left="0"/>
            </w:pPr>
          </w:p>
        </w:tc>
        <w:tc>
          <w:tcPr>
            <w:tcW w:w="1359" w:type="dxa"/>
          </w:tcPr>
          <w:p w14:paraId="44600E90" w14:textId="77777777" w:rsidR="00FC15E3" w:rsidRDefault="00FC15E3" w:rsidP="00D83691">
            <w:pPr>
              <w:pStyle w:val="Lijstalinea"/>
              <w:spacing w:line="276" w:lineRule="auto"/>
              <w:ind w:left="0"/>
            </w:pPr>
            <w:r>
              <w:t>15-24 jaar</w:t>
            </w:r>
          </w:p>
        </w:tc>
        <w:tc>
          <w:tcPr>
            <w:tcW w:w="785" w:type="dxa"/>
          </w:tcPr>
          <w:p w14:paraId="341B953C" w14:textId="77777777" w:rsidR="00FC15E3" w:rsidRDefault="00FC15E3" w:rsidP="00D83691">
            <w:pPr>
              <w:pStyle w:val="Lijstalinea"/>
              <w:spacing w:line="276" w:lineRule="auto"/>
              <w:ind w:left="0"/>
            </w:pPr>
            <w:r>
              <w:t xml:space="preserve">  9%</w:t>
            </w:r>
          </w:p>
        </w:tc>
        <w:tc>
          <w:tcPr>
            <w:tcW w:w="785" w:type="dxa"/>
          </w:tcPr>
          <w:p w14:paraId="2139005B" w14:textId="77777777" w:rsidR="00FC15E3" w:rsidRDefault="00FC15E3" w:rsidP="00D83691">
            <w:pPr>
              <w:pStyle w:val="Lijstalinea"/>
              <w:spacing w:line="276" w:lineRule="auto"/>
              <w:ind w:left="0"/>
            </w:pPr>
            <w:r>
              <w:t>16%</w:t>
            </w:r>
          </w:p>
        </w:tc>
      </w:tr>
      <w:tr w:rsidR="00FC15E3" w14:paraId="1C40C93C" w14:textId="77777777" w:rsidTr="00D83691">
        <w:tc>
          <w:tcPr>
            <w:tcW w:w="1696" w:type="dxa"/>
          </w:tcPr>
          <w:p w14:paraId="0A11B699" w14:textId="77777777" w:rsidR="00FC15E3" w:rsidRDefault="00FC15E3" w:rsidP="00D83691">
            <w:pPr>
              <w:pStyle w:val="Lijstalinea"/>
              <w:spacing w:line="276" w:lineRule="auto"/>
              <w:ind w:left="0"/>
            </w:pPr>
            <w:r>
              <w:t>25-44 jaar</w:t>
            </w:r>
          </w:p>
        </w:tc>
        <w:tc>
          <w:tcPr>
            <w:tcW w:w="785" w:type="dxa"/>
          </w:tcPr>
          <w:p w14:paraId="6496B3AB" w14:textId="77777777" w:rsidR="00FC15E3" w:rsidRDefault="00FC15E3" w:rsidP="00D83691">
            <w:pPr>
              <w:pStyle w:val="Lijstalinea"/>
              <w:spacing w:line="276" w:lineRule="auto"/>
              <w:ind w:left="0"/>
            </w:pPr>
            <w:r>
              <w:t>49%</w:t>
            </w:r>
          </w:p>
        </w:tc>
        <w:tc>
          <w:tcPr>
            <w:tcW w:w="785" w:type="dxa"/>
          </w:tcPr>
          <w:p w14:paraId="047787C8" w14:textId="77777777" w:rsidR="00FC15E3" w:rsidRDefault="00FC15E3" w:rsidP="00D83691">
            <w:pPr>
              <w:pStyle w:val="Lijstalinea"/>
              <w:spacing w:line="276" w:lineRule="auto"/>
              <w:ind w:left="0"/>
            </w:pPr>
            <w:r>
              <w:t>48%</w:t>
            </w:r>
          </w:p>
        </w:tc>
        <w:tc>
          <w:tcPr>
            <w:tcW w:w="785" w:type="dxa"/>
            <w:tcBorders>
              <w:top w:val="nil"/>
              <w:bottom w:val="nil"/>
            </w:tcBorders>
          </w:tcPr>
          <w:p w14:paraId="78A0C344" w14:textId="77777777" w:rsidR="00FC15E3" w:rsidRDefault="00FC15E3" w:rsidP="00D83691">
            <w:pPr>
              <w:pStyle w:val="Lijstalinea"/>
              <w:spacing w:line="276" w:lineRule="auto"/>
              <w:ind w:left="0"/>
            </w:pPr>
          </w:p>
        </w:tc>
        <w:tc>
          <w:tcPr>
            <w:tcW w:w="1359" w:type="dxa"/>
          </w:tcPr>
          <w:p w14:paraId="4A701013" w14:textId="77777777" w:rsidR="00FC15E3" w:rsidRDefault="00FC15E3" w:rsidP="00D83691">
            <w:pPr>
              <w:pStyle w:val="Lijstalinea"/>
              <w:spacing w:line="276" w:lineRule="auto"/>
              <w:ind w:left="0"/>
            </w:pPr>
            <w:r>
              <w:t>25-44 jaar</w:t>
            </w:r>
          </w:p>
        </w:tc>
        <w:tc>
          <w:tcPr>
            <w:tcW w:w="785" w:type="dxa"/>
          </w:tcPr>
          <w:p w14:paraId="482572DB" w14:textId="77777777" w:rsidR="00FC15E3" w:rsidRDefault="00FC15E3" w:rsidP="00D83691">
            <w:pPr>
              <w:pStyle w:val="Lijstalinea"/>
              <w:spacing w:line="276" w:lineRule="auto"/>
              <w:ind w:left="0"/>
            </w:pPr>
            <w:r>
              <w:t>27%</w:t>
            </w:r>
          </w:p>
        </w:tc>
        <w:tc>
          <w:tcPr>
            <w:tcW w:w="785" w:type="dxa"/>
          </w:tcPr>
          <w:p w14:paraId="5FB4201C" w14:textId="77777777" w:rsidR="00FC15E3" w:rsidRDefault="00FC15E3" w:rsidP="00D83691">
            <w:pPr>
              <w:pStyle w:val="Lijstalinea"/>
              <w:spacing w:line="276" w:lineRule="auto"/>
              <w:ind w:left="0"/>
            </w:pPr>
            <w:r>
              <w:t>18%</w:t>
            </w:r>
          </w:p>
        </w:tc>
      </w:tr>
      <w:tr w:rsidR="00FC15E3" w14:paraId="53D0D25F" w14:textId="77777777" w:rsidTr="00D83691">
        <w:tc>
          <w:tcPr>
            <w:tcW w:w="1696" w:type="dxa"/>
          </w:tcPr>
          <w:p w14:paraId="7C74CE52" w14:textId="77777777" w:rsidR="00FC15E3" w:rsidRDefault="00FC15E3" w:rsidP="00D83691">
            <w:pPr>
              <w:pStyle w:val="Lijstalinea"/>
              <w:spacing w:line="276" w:lineRule="auto"/>
              <w:ind w:left="0"/>
            </w:pPr>
            <w:r>
              <w:t>45-64 jaar</w:t>
            </w:r>
          </w:p>
        </w:tc>
        <w:tc>
          <w:tcPr>
            <w:tcW w:w="785" w:type="dxa"/>
          </w:tcPr>
          <w:p w14:paraId="281C2397" w14:textId="77777777" w:rsidR="00FC15E3" w:rsidRDefault="00FC15E3" w:rsidP="00D83691">
            <w:pPr>
              <w:pStyle w:val="Lijstalinea"/>
              <w:spacing w:line="276" w:lineRule="auto"/>
              <w:ind w:left="0"/>
            </w:pPr>
            <w:r>
              <w:t>21%</w:t>
            </w:r>
          </w:p>
        </w:tc>
        <w:tc>
          <w:tcPr>
            <w:tcW w:w="785" w:type="dxa"/>
          </w:tcPr>
          <w:p w14:paraId="5A8E1ED0" w14:textId="77777777" w:rsidR="00FC15E3" w:rsidRDefault="00FC15E3" w:rsidP="00D83691">
            <w:pPr>
              <w:pStyle w:val="Lijstalinea"/>
              <w:spacing w:line="276" w:lineRule="auto"/>
              <w:ind w:left="0"/>
            </w:pPr>
            <w:r>
              <w:t>23%</w:t>
            </w:r>
          </w:p>
        </w:tc>
        <w:tc>
          <w:tcPr>
            <w:tcW w:w="785" w:type="dxa"/>
            <w:tcBorders>
              <w:top w:val="nil"/>
              <w:bottom w:val="nil"/>
            </w:tcBorders>
          </w:tcPr>
          <w:p w14:paraId="1940EBEE" w14:textId="77777777" w:rsidR="00FC15E3" w:rsidRDefault="00FC15E3" w:rsidP="00D83691">
            <w:pPr>
              <w:pStyle w:val="Lijstalinea"/>
              <w:spacing w:line="276" w:lineRule="auto"/>
              <w:ind w:left="0"/>
            </w:pPr>
          </w:p>
        </w:tc>
        <w:tc>
          <w:tcPr>
            <w:tcW w:w="1359" w:type="dxa"/>
          </w:tcPr>
          <w:p w14:paraId="6AA7BF2F" w14:textId="77777777" w:rsidR="00FC15E3" w:rsidRDefault="00FC15E3" w:rsidP="00D83691">
            <w:pPr>
              <w:pStyle w:val="Lijstalinea"/>
              <w:spacing w:line="276" w:lineRule="auto"/>
              <w:ind w:left="0"/>
            </w:pPr>
            <w:r>
              <w:t>45-64 jaar</w:t>
            </w:r>
          </w:p>
        </w:tc>
        <w:tc>
          <w:tcPr>
            <w:tcW w:w="785" w:type="dxa"/>
          </w:tcPr>
          <w:p w14:paraId="405E50FB" w14:textId="77777777" w:rsidR="00FC15E3" w:rsidRDefault="00FC15E3" w:rsidP="00D83691">
            <w:pPr>
              <w:pStyle w:val="Lijstalinea"/>
              <w:spacing w:line="276" w:lineRule="auto"/>
              <w:ind w:left="0"/>
            </w:pPr>
            <w:r>
              <w:t>30%</w:t>
            </w:r>
          </w:p>
        </w:tc>
        <w:tc>
          <w:tcPr>
            <w:tcW w:w="785" w:type="dxa"/>
          </w:tcPr>
          <w:p w14:paraId="7D557E07" w14:textId="77777777" w:rsidR="00FC15E3" w:rsidRDefault="00FC15E3" w:rsidP="00D83691">
            <w:pPr>
              <w:pStyle w:val="Lijstalinea"/>
              <w:spacing w:line="276" w:lineRule="auto"/>
              <w:ind w:left="0"/>
            </w:pPr>
            <w:r>
              <w:t>41%</w:t>
            </w:r>
          </w:p>
        </w:tc>
      </w:tr>
      <w:tr w:rsidR="00FC15E3" w14:paraId="57E65367" w14:textId="77777777" w:rsidTr="00D83691">
        <w:tc>
          <w:tcPr>
            <w:tcW w:w="1696" w:type="dxa"/>
          </w:tcPr>
          <w:p w14:paraId="0D235BDC" w14:textId="77777777" w:rsidR="00FC15E3" w:rsidRDefault="00FC15E3" w:rsidP="00D83691">
            <w:pPr>
              <w:pStyle w:val="Lijstalinea"/>
              <w:spacing w:line="276" w:lineRule="auto"/>
              <w:ind w:left="0"/>
            </w:pPr>
            <w:r>
              <w:t>65+</w:t>
            </w:r>
          </w:p>
        </w:tc>
        <w:tc>
          <w:tcPr>
            <w:tcW w:w="785" w:type="dxa"/>
          </w:tcPr>
          <w:p w14:paraId="2087B621" w14:textId="77777777" w:rsidR="00FC15E3" w:rsidRDefault="00FC15E3" w:rsidP="00D83691">
            <w:pPr>
              <w:pStyle w:val="Lijstalinea"/>
              <w:spacing w:line="276" w:lineRule="auto"/>
              <w:ind w:left="0"/>
            </w:pPr>
            <w:r>
              <w:t xml:space="preserve">  7%</w:t>
            </w:r>
          </w:p>
        </w:tc>
        <w:tc>
          <w:tcPr>
            <w:tcW w:w="785" w:type="dxa"/>
          </w:tcPr>
          <w:p w14:paraId="1162D41A" w14:textId="77777777" w:rsidR="00FC15E3" w:rsidRDefault="00FC15E3" w:rsidP="00D83691">
            <w:pPr>
              <w:pStyle w:val="Lijstalinea"/>
              <w:spacing w:line="276" w:lineRule="auto"/>
              <w:ind w:left="0"/>
            </w:pPr>
            <w:r>
              <w:t xml:space="preserve">  7%</w:t>
            </w:r>
          </w:p>
        </w:tc>
        <w:tc>
          <w:tcPr>
            <w:tcW w:w="785" w:type="dxa"/>
            <w:tcBorders>
              <w:top w:val="nil"/>
              <w:bottom w:val="nil"/>
            </w:tcBorders>
          </w:tcPr>
          <w:p w14:paraId="176FA132" w14:textId="77777777" w:rsidR="00FC15E3" w:rsidRDefault="00FC15E3" w:rsidP="00D83691">
            <w:pPr>
              <w:pStyle w:val="Lijstalinea"/>
              <w:spacing w:line="276" w:lineRule="auto"/>
              <w:ind w:left="0"/>
            </w:pPr>
          </w:p>
        </w:tc>
        <w:tc>
          <w:tcPr>
            <w:tcW w:w="1359" w:type="dxa"/>
          </w:tcPr>
          <w:p w14:paraId="3087B409" w14:textId="77777777" w:rsidR="00FC15E3" w:rsidRDefault="00FC15E3" w:rsidP="00D83691">
            <w:pPr>
              <w:pStyle w:val="Lijstalinea"/>
              <w:spacing w:line="276" w:lineRule="auto"/>
              <w:ind w:left="0"/>
            </w:pPr>
            <w:r>
              <w:t>65+</w:t>
            </w:r>
          </w:p>
        </w:tc>
        <w:tc>
          <w:tcPr>
            <w:tcW w:w="785" w:type="dxa"/>
          </w:tcPr>
          <w:p w14:paraId="611291F0" w14:textId="77777777" w:rsidR="00FC15E3" w:rsidRDefault="00FC15E3" w:rsidP="00D83691">
            <w:pPr>
              <w:pStyle w:val="Lijstalinea"/>
              <w:spacing w:line="276" w:lineRule="auto"/>
              <w:ind w:left="0"/>
            </w:pPr>
            <w:r>
              <w:t>11%</w:t>
            </w:r>
          </w:p>
        </w:tc>
        <w:tc>
          <w:tcPr>
            <w:tcW w:w="785" w:type="dxa"/>
          </w:tcPr>
          <w:p w14:paraId="207587C5" w14:textId="77777777" w:rsidR="00FC15E3" w:rsidRDefault="00FC15E3" w:rsidP="00D83691">
            <w:pPr>
              <w:pStyle w:val="Lijstalinea"/>
              <w:spacing w:line="276" w:lineRule="auto"/>
              <w:ind w:left="0"/>
            </w:pPr>
            <w:r>
              <w:t>11%</w:t>
            </w:r>
          </w:p>
        </w:tc>
      </w:tr>
    </w:tbl>
    <w:p w14:paraId="3A1A7128" w14:textId="77777777" w:rsidR="00FC15E3" w:rsidRDefault="00FC15E3" w:rsidP="00FC15E3">
      <w:pPr>
        <w:pStyle w:val="Lijstalinea"/>
        <w:spacing w:line="276" w:lineRule="auto"/>
        <w:ind w:left="851"/>
      </w:pPr>
    </w:p>
    <w:p w14:paraId="2373E419" w14:textId="77777777" w:rsidR="00FC15E3" w:rsidRPr="00FC15E3" w:rsidRDefault="00FC15E3" w:rsidP="00FC15E3">
      <w:pPr>
        <w:pStyle w:val="Lijstalinea"/>
        <w:spacing w:line="276" w:lineRule="auto"/>
        <w:ind w:left="0"/>
        <w:rPr>
          <w:b/>
          <w:bCs/>
        </w:rPr>
      </w:pPr>
      <w:r w:rsidRPr="00FC15E3">
        <w:rPr>
          <w:b/>
          <w:bCs/>
        </w:rPr>
        <w:t>Stap 4a: Eindtoets</w:t>
      </w:r>
    </w:p>
    <w:p w14:paraId="30026162" w14:textId="77777777" w:rsidR="00FC15E3" w:rsidRPr="003C5E0C" w:rsidRDefault="00FC15E3" w:rsidP="00FC15E3">
      <w:pPr>
        <w:pStyle w:val="Lijstalinea"/>
        <w:numPr>
          <w:ilvl w:val="0"/>
          <w:numId w:val="42"/>
        </w:numPr>
        <w:spacing w:line="276" w:lineRule="auto"/>
      </w:pPr>
      <w:r>
        <w:t>Een wijk is een deel van een stad of dorp. Een buurt is een deel van een wijk.</w:t>
      </w:r>
      <w:r>
        <w:br/>
        <w:t>Een stad/dorp heeft meestal meer wijken. Een wijk heeft meestal meer buurten.</w:t>
      </w:r>
    </w:p>
    <w:p w14:paraId="665EBF52" w14:textId="77777777" w:rsidR="00FC15E3" w:rsidRPr="003C5E0C" w:rsidRDefault="00FC15E3" w:rsidP="00FC15E3">
      <w:pPr>
        <w:pStyle w:val="Lijstalinea"/>
        <w:numPr>
          <w:ilvl w:val="0"/>
          <w:numId w:val="42"/>
        </w:numPr>
        <w:spacing w:line="276" w:lineRule="auto"/>
      </w:pPr>
      <w:r>
        <w:t xml:space="preserve">CBS, </w:t>
      </w:r>
      <w:proofErr w:type="spellStart"/>
      <w:r>
        <w:t>EduGIS</w:t>
      </w:r>
      <w:proofErr w:type="spellEnd"/>
      <w:r>
        <w:t xml:space="preserve"> en de gemeente.</w:t>
      </w:r>
    </w:p>
    <w:p w14:paraId="5BDE9B02" w14:textId="77777777" w:rsidR="00FC15E3" w:rsidRPr="003C5E0C" w:rsidRDefault="00FC15E3" w:rsidP="00FC15E3">
      <w:pPr>
        <w:pStyle w:val="Lijstalinea"/>
        <w:numPr>
          <w:ilvl w:val="0"/>
          <w:numId w:val="42"/>
        </w:numPr>
        <w:spacing w:line="276" w:lineRule="auto"/>
      </w:pPr>
      <w:r>
        <w:t xml:space="preserve">Statline is </w:t>
      </w:r>
      <w:r w:rsidRPr="003C5E0C">
        <w:t>de elektronische databank van het CBS.</w:t>
      </w:r>
    </w:p>
    <w:p w14:paraId="05ED7CFD" w14:textId="77777777" w:rsidR="00FC15E3" w:rsidRPr="003C5E0C" w:rsidRDefault="00FC15E3" w:rsidP="00FC15E3">
      <w:pPr>
        <w:pStyle w:val="Lijstalinea"/>
        <w:numPr>
          <w:ilvl w:val="0"/>
          <w:numId w:val="42"/>
        </w:numPr>
        <w:spacing w:line="276" w:lineRule="auto"/>
      </w:pPr>
      <w:r>
        <w:t xml:space="preserve">Naar: </w:t>
      </w:r>
      <w:proofErr w:type="gramStart"/>
      <w:r>
        <w:t>ouderdom /</w:t>
      </w:r>
      <w:proofErr w:type="gramEnd"/>
      <w:r>
        <w:t xml:space="preserve"> eigendom / woningtype / onderhoud.</w:t>
      </w:r>
    </w:p>
    <w:p w14:paraId="02E0A08C" w14:textId="77777777" w:rsidR="00FC15E3" w:rsidRPr="003C5E0C" w:rsidRDefault="00FC15E3" w:rsidP="00FC15E3">
      <w:pPr>
        <w:pStyle w:val="Lijstalinea"/>
        <w:numPr>
          <w:ilvl w:val="0"/>
          <w:numId w:val="42"/>
        </w:numPr>
        <w:spacing w:line="276" w:lineRule="auto"/>
      </w:pPr>
      <w:r>
        <w:t xml:space="preserve">Naar: grootte van </w:t>
      </w:r>
      <w:proofErr w:type="gramStart"/>
      <w:r>
        <w:t>huishoudens /</w:t>
      </w:r>
      <w:proofErr w:type="gramEnd"/>
      <w:r>
        <w:t xml:space="preserve"> etniciteit / inkomen / gezinsfase / leeftijd.</w:t>
      </w:r>
    </w:p>
    <w:p w14:paraId="7E7BDBE5" w14:textId="77777777" w:rsidR="00FC15E3" w:rsidRDefault="00FC15E3" w:rsidP="00FC15E3">
      <w:pPr>
        <w:pStyle w:val="Lijstalinea"/>
        <w:spacing w:line="276" w:lineRule="auto"/>
        <w:ind w:left="0"/>
      </w:pPr>
    </w:p>
    <w:p w14:paraId="70AFD381" w14:textId="77777777" w:rsidR="00FC15E3" w:rsidRPr="00FC15E3" w:rsidRDefault="00FC15E3" w:rsidP="00FC15E3">
      <w:pPr>
        <w:pStyle w:val="Lijstalinea"/>
        <w:spacing w:line="276" w:lineRule="auto"/>
        <w:ind w:left="0"/>
        <w:rPr>
          <w:b/>
          <w:bCs/>
        </w:rPr>
      </w:pPr>
      <w:bookmarkStart w:id="0" w:name="_GoBack"/>
      <w:r w:rsidRPr="00FC15E3">
        <w:rPr>
          <w:b/>
          <w:bCs/>
        </w:rPr>
        <w:t>Stap 4b</w:t>
      </w:r>
    </w:p>
    <w:bookmarkEnd w:id="0"/>
    <w:p w14:paraId="2452019D" w14:textId="77777777" w:rsidR="00FC15E3" w:rsidRDefault="00FC15E3" w:rsidP="00FC15E3">
      <w:pPr>
        <w:pStyle w:val="Lijstalinea"/>
        <w:spacing w:line="276" w:lineRule="auto"/>
        <w:ind w:left="0"/>
      </w:pPr>
      <w:r>
        <w:t>-</w:t>
      </w:r>
    </w:p>
    <w:p w14:paraId="14968AA8" w14:textId="77777777" w:rsidR="00817157" w:rsidRPr="00817157" w:rsidRDefault="00817157" w:rsidP="00817157">
      <w:pPr>
        <w:spacing w:line="276" w:lineRule="auto"/>
        <w:rPr>
          <w:b/>
        </w:rPr>
      </w:pPr>
    </w:p>
    <w:p w14:paraId="66F00187" w14:textId="77777777" w:rsidR="000B114E" w:rsidRDefault="000B114E" w:rsidP="000B114E">
      <w:pPr>
        <w:spacing w:line="360" w:lineRule="auto"/>
      </w:pPr>
    </w:p>
    <w:sectPr w:rsidR="000B114E" w:rsidSect="0077034B">
      <w:headerReference w:type="even" r:id="rId8"/>
      <w:headerReference w:type="default" r:id="rId9"/>
      <w:footerReference w:type="even" r:id="rId10"/>
      <w:footerReference w:type="default" r:id="rId11"/>
      <w:headerReference w:type="first" r:id="rId12"/>
      <w:footerReference w:type="first" r:id="rId13"/>
      <w:type w:val="continuous"/>
      <w:pgSz w:w="11906" w:h="16838"/>
      <w:pgMar w:top="1276" w:right="746" w:bottom="1417" w:left="1417" w:header="708" w:footer="3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893A6" w14:textId="77777777" w:rsidR="00CE743A" w:rsidRDefault="00CE743A" w:rsidP="00A75839">
      <w:r>
        <w:separator/>
      </w:r>
    </w:p>
  </w:endnote>
  <w:endnote w:type="continuationSeparator" w:id="0">
    <w:p w14:paraId="5661F7B6" w14:textId="77777777" w:rsidR="00CE743A" w:rsidRDefault="00CE743A" w:rsidP="00A7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RotisSerif">
    <w:panose1 w:val="00000000000000000000"/>
    <w:charset w:val="C8"/>
    <w:family w:val="auto"/>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SemiSans Extra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A00002EF" w:usb1="4000204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FFDFD" w14:textId="77777777" w:rsidR="002430E5" w:rsidRDefault="002B51F1">
    <w:pPr>
      <w:pStyle w:val="Voettekst"/>
      <w:framePr w:wrap="around" w:vAnchor="text" w:hAnchor="margin" w:xAlign="right" w:y="1"/>
      <w:rPr>
        <w:rStyle w:val="Paginanummer"/>
      </w:rPr>
    </w:pPr>
    <w:r>
      <w:rPr>
        <w:rStyle w:val="Paginanummer"/>
      </w:rPr>
      <w:fldChar w:fldCharType="begin"/>
    </w:r>
    <w:r w:rsidR="002430E5">
      <w:rPr>
        <w:rStyle w:val="Paginanummer"/>
      </w:rPr>
      <w:instrText xml:space="preserve">PAGE  </w:instrText>
    </w:r>
    <w:r>
      <w:rPr>
        <w:rStyle w:val="Paginanummer"/>
      </w:rPr>
      <w:fldChar w:fldCharType="end"/>
    </w:r>
  </w:p>
  <w:p w14:paraId="016F9AEC" w14:textId="77777777" w:rsidR="002430E5" w:rsidRDefault="002430E5">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67DA7" w14:textId="77777777" w:rsidR="00265EC9" w:rsidRPr="00265EC9" w:rsidRDefault="00265EC9">
    <w:pPr>
      <w:pStyle w:val="Voettekst"/>
      <w:rPr>
        <w:sz w:val="16"/>
      </w:rPr>
    </w:pPr>
    <w:r w:rsidRPr="00265EC9">
      <w:rPr>
        <w:sz w:val="16"/>
      </w:rPr>
      <w:t>A</w:t>
    </w:r>
    <w:r>
      <w:rPr>
        <w:sz w:val="16"/>
      </w:rPr>
      <w:t>ardrij</w:t>
    </w:r>
    <w:r w:rsidRPr="00265EC9">
      <w:rPr>
        <w:sz w:val="16"/>
      </w:rPr>
      <w:t>k</w:t>
    </w:r>
    <w:r>
      <w:rPr>
        <w:sz w:val="16"/>
      </w:rPr>
      <w:t>skunde</w:t>
    </w:r>
    <w:r w:rsidRPr="00265EC9">
      <w:rPr>
        <w:sz w:val="16"/>
      </w:rPr>
      <w:t xml:space="preserve"> 2</w:t>
    </w:r>
    <w:r w:rsidRPr="00265EC9">
      <w:rPr>
        <w:sz w:val="16"/>
        <w:vertAlign w:val="superscript"/>
      </w:rPr>
      <w:t>e</w:t>
    </w:r>
    <w:r w:rsidRPr="00265EC9">
      <w:rPr>
        <w:sz w:val="16"/>
      </w:rPr>
      <w:t xml:space="preserve"> fase – havo</w:t>
    </w:r>
    <w:r w:rsidR="00697B96">
      <w:rPr>
        <w:sz w:val="16"/>
      </w:rPr>
      <w:t xml:space="preserve"> 4</w:t>
    </w:r>
  </w:p>
  <w:p w14:paraId="6D9F1697" w14:textId="77777777" w:rsidR="002430E5" w:rsidRPr="002332C2" w:rsidRDefault="002430E5" w:rsidP="00B1117F">
    <w:pPr>
      <w:pStyle w:val="Voettekst"/>
      <w:tabs>
        <w:tab w:val="clear" w:pos="4536"/>
        <w:tab w:val="clear" w:pos="9072"/>
        <w:tab w:val="center" w:pos="4871"/>
        <w:tab w:val="right" w:pos="9743"/>
      </w:tabs>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0976F" w14:textId="77777777" w:rsidR="00472036" w:rsidRDefault="0047203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50EEF" w14:textId="77777777" w:rsidR="00CE743A" w:rsidRDefault="00CE743A" w:rsidP="00A75839">
      <w:r>
        <w:separator/>
      </w:r>
    </w:p>
  </w:footnote>
  <w:footnote w:type="continuationSeparator" w:id="0">
    <w:p w14:paraId="5405D191" w14:textId="77777777" w:rsidR="00CE743A" w:rsidRDefault="00CE743A" w:rsidP="00A7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61F42" w14:textId="77777777" w:rsidR="00472036" w:rsidRDefault="0047203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A5560" w14:textId="77777777" w:rsidR="00697B96" w:rsidRPr="00697B96" w:rsidRDefault="00697B96">
    <w:pPr>
      <w:pStyle w:val="Koptekst"/>
      <w:rPr>
        <w:sz w:val="18"/>
        <w:szCs w:val="18"/>
      </w:rPr>
    </w:pPr>
    <w:r>
      <w:rPr>
        <w:noProof/>
      </w:rPr>
      <w:drawing>
        <wp:anchor distT="0" distB="0" distL="114300" distR="114300" simplePos="0" relativeHeight="251659264" behindDoc="0" locked="0" layoutInCell="1" allowOverlap="1" wp14:anchorId="032E3A2F" wp14:editId="1F7ADBF1">
          <wp:simplePos x="0" y="0"/>
          <wp:positionH relativeFrom="margin">
            <wp:align>right</wp:align>
          </wp:positionH>
          <wp:positionV relativeFrom="paragraph">
            <wp:posOffset>-410210</wp:posOffset>
          </wp:positionV>
          <wp:extent cx="1934845" cy="644525"/>
          <wp:effectExtent l="0" t="0" r="8255" b="3175"/>
          <wp:wrapSquare wrapText="bothSides"/>
          <wp:docPr id="27" name="Afbeelding 27"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anchor>
      </w:drawing>
    </w:r>
    <w:r w:rsidR="00472036">
      <w:rPr>
        <w:sz w:val="18"/>
        <w:szCs w:val="18"/>
      </w:rPr>
      <w:t>Stercollectie AK h</w:t>
    </w:r>
    <w:r>
      <w:rPr>
        <w:sz w:val="18"/>
        <w:szCs w:val="18"/>
      </w:rPr>
      <w:t>4</w:t>
    </w:r>
    <w:r>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22D5A" w14:textId="77777777" w:rsidR="00472036" w:rsidRDefault="0047203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AF1"/>
    <w:multiLevelType w:val="hybridMultilevel"/>
    <w:tmpl w:val="790C1C4E"/>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1720F36"/>
    <w:multiLevelType w:val="hybridMultilevel"/>
    <w:tmpl w:val="5F7685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29A7945"/>
    <w:multiLevelType w:val="hybridMultilevel"/>
    <w:tmpl w:val="3F505544"/>
    <w:lvl w:ilvl="0" w:tplc="0413000F">
      <w:start w:val="1"/>
      <w:numFmt w:val="decimal"/>
      <w:lvlText w:val="%1."/>
      <w:lvlJc w:val="left"/>
      <w:pPr>
        <w:tabs>
          <w:tab w:val="num" w:pos="360"/>
        </w:tabs>
        <w:ind w:left="360" w:hanging="360"/>
      </w:pPr>
    </w:lvl>
    <w:lvl w:ilvl="1" w:tplc="104EE698">
      <w:start w:val="1"/>
      <w:numFmt w:val="bullet"/>
      <w:lvlText w:val=""/>
      <w:lvlJc w:val="left"/>
      <w:pPr>
        <w:tabs>
          <w:tab w:val="num" w:pos="1080"/>
        </w:tabs>
        <w:ind w:left="1077" w:hanging="357"/>
      </w:pPr>
      <w:rPr>
        <w:rFonts w:ascii="Symbol" w:hAnsi="Symbol"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061044A7"/>
    <w:multiLevelType w:val="hybridMultilevel"/>
    <w:tmpl w:val="F3C2E74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96473D9"/>
    <w:multiLevelType w:val="hybridMultilevel"/>
    <w:tmpl w:val="50A2D126"/>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AAB7411"/>
    <w:multiLevelType w:val="hybridMultilevel"/>
    <w:tmpl w:val="07744A8A"/>
    <w:lvl w:ilvl="0" w:tplc="31726D30">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BF3C72"/>
    <w:multiLevelType w:val="hybridMultilevel"/>
    <w:tmpl w:val="549AF3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0D9E1F25"/>
    <w:multiLevelType w:val="hybridMultilevel"/>
    <w:tmpl w:val="F25A0A80"/>
    <w:lvl w:ilvl="0" w:tplc="D364615E">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8" w15:restartNumberingAfterBreak="0">
    <w:nsid w:val="0F002475"/>
    <w:multiLevelType w:val="hybridMultilevel"/>
    <w:tmpl w:val="FDF64B04"/>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35E2378"/>
    <w:multiLevelType w:val="hybridMultilevel"/>
    <w:tmpl w:val="B7D04D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14152895"/>
    <w:multiLevelType w:val="hybridMultilevel"/>
    <w:tmpl w:val="14B247B0"/>
    <w:lvl w:ilvl="0" w:tplc="E542BB90">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11" w15:restartNumberingAfterBreak="0">
    <w:nsid w:val="1577372C"/>
    <w:multiLevelType w:val="hybridMultilevel"/>
    <w:tmpl w:val="512EA4B8"/>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1DDF3D7D"/>
    <w:multiLevelType w:val="hybridMultilevel"/>
    <w:tmpl w:val="6FE8A30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1DE9203A"/>
    <w:multiLevelType w:val="hybridMultilevel"/>
    <w:tmpl w:val="1E9A60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DED4563"/>
    <w:multiLevelType w:val="hybridMultilevel"/>
    <w:tmpl w:val="411C41CA"/>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1F3B449E"/>
    <w:multiLevelType w:val="hybridMultilevel"/>
    <w:tmpl w:val="7DFCBA16"/>
    <w:lvl w:ilvl="0" w:tplc="33A4991E">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1F9847B2"/>
    <w:multiLevelType w:val="hybridMultilevel"/>
    <w:tmpl w:val="8520C6D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22025F8C"/>
    <w:multiLevelType w:val="hybridMultilevel"/>
    <w:tmpl w:val="09A2CD76"/>
    <w:lvl w:ilvl="0" w:tplc="04130011">
      <w:start w:val="1"/>
      <w:numFmt w:val="decimal"/>
      <w:lvlText w:val="%1)"/>
      <w:lvlJc w:val="left"/>
      <w:pPr>
        <w:ind w:left="720" w:hanging="360"/>
      </w:pPr>
      <w:rPr>
        <w:rFonts w:hint="default"/>
        <w:b w:val="0"/>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25630FB8"/>
    <w:multiLevelType w:val="hybridMultilevel"/>
    <w:tmpl w:val="1DE2DB40"/>
    <w:lvl w:ilvl="0" w:tplc="DA544BFA">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19" w15:restartNumberingAfterBreak="0">
    <w:nsid w:val="27081D3B"/>
    <w:multiLevelType w:val="hybridMultilevel"/>
    <w:tmpl w:val="4FC010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29B41D7A"/>
    <w:multiLevelType w:val="hybridMultilevel"/>
    <w:tmpl w:val="1464C064"/>
    <w:lvl w:ilvl="0" w:tplc="31726D3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2AA528A7"/>
    <w:multiLevelType w:val="hybridMultilevel"/>
    <w:tmpl w:val="AB78BCA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2AF704C0"/>
    <w:multiLevelType w:val="hybridMultilevel"/>
    <w:tmpl w:val="DEFC18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2C976081"/>
    <w:multiLevelType w:val="hybridMultilevel"/>
    <w:tmpl w:val="6F0A7108"/>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2E2B7582"/>
    <w:multiLevelType w:val="hybridMultilevel"/>
    <w:tmpl w:val="D23AA07E"/>
    <w:lvl w:ilvl="0" w:tplc="74E62398">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5" w15:restartNumberingAfterBreak="0">
    <w:nsid w:val="2F341E73"/>
    <w:multiLevelType w:val="hybridMultilevel"/>
    <w:tmpl w:val="C7547C52"/>
    <w:lvl w:ilvl="0" w:tplc="297E4DF2">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6" w15:restartNumberingAfterBreak="0">
    <w:nsid w:val="2F5E6B39"/>
    <w:multiLevelType w:val="hybridMultilevel"/>
    <w:tmpl w:val="83747FE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339B7A97"/>
    <w:multiLevelType w:val="hybridMultilevel"/>
    <w:tmpl w:val="9F3C5152"/>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15:restartNumberingAfterBreak="0">
    <w:nsid w:val="36B3278F"/>
    <w:multiLevelType w:val="hybridMultilevel"/>
    <w:tmpl w:val="A1AA91A0"/>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383C1092"/>
    <w:multiLevelType w:val="hybridMultilevel"/>
    <w:tmpl w:val="5008C0A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04130001">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30" w15:restartNumberingAfterBreak="0">
    <w:nsid w:val="3C7477FC"/>
    <w:multiLevelType w:val="hybridMultilevel"/>
    <w:tmpl w:val="B23AF5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7735231"/>
    <w:multiLevelType w:val="hybridMultilevel"/>
    <w:tmpl w:val="DFA4484E"/>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4B4D1F2E"/>
    <w:multiLevelType w:val="hybridMultilevel"/>
    <w:tmpl w:val="857A3BBE"/>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39A141C"/>
    <w:multiLevelType w:val="hybridMultilevel"/>
    <w:tmpl w:val="B8F8AEE2"/>
    <w:lvl w:ilvl="0" w:tplc="02A0086E">
      <w:start w:val="4"/>
      <w:numFmt w:val="bullet"/>
      <w:lvlText w:val="-"/>
      <w:lvlJc w:val="left"/>
      <w:pPr>
        <w:tabs>
          <w:tab w:val="num" w:pos="360"/>
        </w:tabs>
        <w:ind w:left="340" w:hanging="340"/>
      </w:pPr>
      <w:rPr>
        <w:rFonts w:hint="default"/>
        <w:b w:val="0"/>
        <w:i w:val="0"/>
        <w:sz w:val="16"/>
      </w:rPr>
    </w:lvl>
    <w:lvl w:ilvl="1" w:tplc="04130003">
      <w:start w:val="1"/>
      <w:numFmt w:val="decimal"/>
      <w:lvlText w:val="%2."/>
      <w:lvlJc w:val="left"/>
      <w:pPr>
        <w:tabs>
          <w:tab w:val="num" w:pos="1100"/>
        </w:tabs>
        <w:ind w:left="1100" w:hanging="360"/>
      </w:pPr>
    </w:lvl>
    <w:lvl w:ilvl="2" w:tplc="04130005">
      <w:start w:val="1"/>
      <w:numFmt w:val="decimal"/>
      <w:lvlText w:val="%3."/>
      <w:lvlJc w:val="left"/>
      <w:pPr>
        <w:tabs>
          <w:tab w:val="num" w:pos="1820"/>
        </w:tabs>
        <w:ind w:left="1820" w:hanging="360"/>
      </w:pPr>
    </w:lvl>
    <w:lvl w:ilvl="3" w:tplc="04130001">
      <w:start w:val="1"/>
      <w:numFmt w:val="decimal"/>
      <w:lvlText w:val="%4."/>
      <w:lvlJc w:val="left"/>
      <w:pPr>
        <w:tabs>
          <w:tab w:val="num" w:pos="2540"/>
        </w:tabs>
        <w:ind w:left="2540" w:hanging="360"/>
      </w:pPr>
    </w:lvl>
    <w:lvl w:ilvl="4" w:tplc="04130003">
      <w:start w:val="1"/>
      <w:numFmt w:val="decimal"/>
      <w:lvlText w:val="%5."/>
      <w:lvlJc w:val="left"/>
      <w:pPr>
        <w:tabs>
          <w:tab w:val="num" w:pos="3260"/>
        </w:tabs>
        <w:ind w:left="3260" w:hanging="360"/>
      </w:pPr>
    </w:lvl>
    <w:lvl w:ilvl="5" w:tplc="04130005">
      <w:start w:val="1"/>
      <w:numFmt w:val="decimal"/>
      <w:lvlText w:val="%6."/>
      <w:lvlJc w:val="left"/>
      <w:pPr>
        <w:tabs>
          <w:tab w:val="num" w:pos="3980"/>
        </w:tabs>
        <w:ind w:left="3980" w:hanging="360"/>
      </w:pPr>
    </w:lvl>
    <w:lvl w:ilvl="6" w:tplc="04130001">
      <w:start w:val="1"/>
      <w:numFmt w:val="decimal"/>
      <w:lvlText w:val="%7."/>
      <w:lvlJc w:val="left"/>
      <w:pPr>
        <w:tabs>
          <w:tab w:val="num" w:pos="4700"/>
        </w:tabs>
        <w:ind w:left="4700" w:hanging="360"/>
      </w:pPr>
    </w:lvl>
    <w:lvl w:ilvl="7" w:tplc="04130003">
      <w:start w:val="1"/>
      <w:numFmt w:val="decimal"/>
      <w:lvlText w:val="%8."/>
      <w:lvlJc w:val="left"/>
      <w:pPr>
        <w:tabs>
          <w:tab w:val="num" w:pos="5420"/>
        </w:tabs>
        <w:ind w:left="5420" w:hanging="360"/>
      </w:pPr>
    </w:lvl>
    <w:lvl w:ilvl="8" w:tplc="04130005">
      <w:start w:val="1"/>
      <w:numFmt w:val="decimal"/>
      <w:lvlText w:val="%9."/>
      <w:lvlJc w:val="left"/>
      <w:pPr>
        <w:tabs>
          <w:tab w:val="num" w:pos="6140"/>
        </w:tabs>
        <w:ind w:left="6140" w:hanging="360"/>
      </w:pPr>
    </w:lvl>
  </w:abstractNum>
  <w:abstractNum w:abstractNumId="34" w15:restartNumberingAfterBreak="0">
    <w:nsid w:val="5F3429D9"/>
    <w:multiLevelType w:val="hybridMultilevel"/>
    <w:tmpl w:val="9156163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65937FA8"/>
    <w:multiLevelType w:val="hybridMultilevel"/>
    <w:tmpl w:val="45EE29F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31726D30">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36" w15:restartNumberingAfterBreak="0">
    <w:nsid w:val="66B45937"/>
    <w:multiLevelType w:val="hybridMultilevel"/>
    <w:tmpl w:val="AAD8C49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7" w15:restartNumberingAfterBreak="0">
    <w:nsid w:val="67311D84"/>
    <w:multiLevelType w:val="hybridMultilevel"/>
    <w:tmpl w:val="1ACA1AB6"/>
    <w:lvl w:ilvl="0" w:tplc="0413000F">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38" w15:restartNumberingAfterBreak="0">
    <w:nsid w:val="6E4C220E"/>
    <w:multiLevelType w:val="hybridMultilevel"/>
    <w:tmpl w:val="C34A8170"/>
    <w:lvl w:ilvl="0" w:tplc="41FCE222">
      <w:start w:val="4"/>
      <w:numFmt w:val="bullet"/>
      <w:lvlText w:val="-"/>
      <w:lvlJc w:val="left"/>
      <w:pPr>
        <w:tabs>
          <w:tab w:val="num" w:pos="360"/>
        </w:tabs>
        <w:ind w:left="340" w:hanging="340"/>
      </w:pPr>
      <w:rPr>
        <w:rFonts w:hint="default"/>
        <w:b w:val="0"/>
        <w:i w:val="0"/>
        <w:sz w:val="16"/>
      </w:rPr>
    </w:lvl>
    <w:lvl w:ilvl="1" w:tplc="04130003">
      <w:start w:val="1"/>
      <w:numFmt w:val="bullet"/>
      <w:lvlText w:val="o"/>
      <w:lvlJc w:val="left"/>
      <w:pPr>
        <w:tabs>
          <w:tab w:val="num" w:pos="1100"/>
        </w:tabs>
        <w:ind w:left="1100" w:hanging="360"/>
      </w:pPr>
      <w:rPr>
        <w:rFonts w:ascii="Courier New" w:hAnsi="Courier New" w:hint="default"/>
      </w:rPr>
    </w:lvl>
    <w:lvl w:ilvl="2" w:tplc="04130005" w:tentative="1">
      <w:start w:val="1"/>
      <w:numFmt w:val="bullet"/>
      <w:lvlText w:val=""/>
      <w:lvlJc w:val="left"/>
      <w:pPr>
        <w:tabs>
          <w:tab w:val="num" w:pos="1820"/>
        </w:tabs>
        <w:ind w:left="1820" w:hanging="360"/>
      </w:pPr>
      <w:rPr>
        <w:rFonts w:ascii="Wingdings" w:hAnsi="Wingdings" w:hint="default"/>
      </w:rPr>
    </w:lvl>
    <w:lvl w:ilvl="3" w:tplc="04130001" w:tentative="1">
      <w:start w:val="1"/>
      <w:numFmt w:val="bullet"/>
      <w:lvlText w:val=""/>
      <w:lvlJc w:val="left"/>
      <w:pPr>
        <w:tabs>
          <w:tab w:val="num" w:pos="2540"/>
        </w:tabs>
        <w:ind w:left="2540" w:hanging="360"/>
      </w:pPr>
      <w:rPr>
        <w:rFonts w:ascii="Symbol" w:hAnsi="Symbol" w:hint="default"/>
      </w:rPr>
    </w:lvl>
    <w:lvl w:ilvl="4" w:tplc="04130003" w:tentative="1">
      <w:start w:val="1"/>
      <w:numFmt w:val="bullet"/>
      <w:lvlText w:val="o"/>
      <w:lvlJc w:val="left"/>
      <w:pPr>
        <w:tabs>
          <w:tab w:val="num" w:pos="3260"/>
        </w:tabs>
        <w:ind w:left="3260" w:hanging="360"/>
      </w:pPr>
      <w:rPr>
        <w:rFonts w:ascii="Courier New" w:hAnsi="Courier New" w:hint="default"/>
      </w:rPr>
    </w:lvl>
    <w:lvl w:ilvl="5" w:tplc="04130005" w:tentative="1">
      <w:start w:val="1"/>
      <w:numFmt w:val="bullet"/>
      <w:lvlText w:val=""/>
      <w:lvlJc w:val="left"/>
      <w:pPr>
        <w:tabs>
          <w:tab w:val="num" w:pos="3980"/>
        </w:tabs>
        <w:ind w:left="3980" w:hanging="360"/>
      </w:pPr>
      <w:rPr>
        <w:rFonts w:ascii="Wingdings" w:hAnsi="Wingdings" w:hint="default"/>
      </w:rPr>
    </w:lvl>
    <w:lvl w:ilvl="6" w:tplc="04130001" w:tentative="1">
      <w:start w:val="1"/>
      <w:numFmt w:val="bullet"/>
      <w:lvlText w:val=""/>
      <w:lvlJc w:val="left"/>
      <w:pPr>
        <w:tabs>
          <w:tab w:val="num" w:pos="4700"/>
        </w:tabs>
        <w:ind w:left="4700" w:hanging="360"/>
      </w:pPr>
      <w:rPr>
        <w:rFonts w:ascii="Symbol" w:hAnsi="Symbol" w:hint="default"/>
      </w:rPr>
    </w:lvl>
    <w:lvl w:ilvl="7" w:tplc="04130003" w:tentative="1">
      <w:start w:val="1"/>
      <w:numFmt w:val="bullet"/>
      <w:lvlText w:val="o"/>
      <w:lvlJc w:val="left"/>
      <w:pPr>
        <w:tabs>
          <w:tab w:val="num" w:pos="5420"/>
        </w:tabs>
        <w:ind w:left="5420" w:hanging="360"/>
      </w:pPr>
      <w:rPr>
        <w:rFonts w:ascii="Courier New" w:hAnsi="Courier New" w:hint="default"/>
      </w:rPr>
    </w:lvl>
    <w:lvl w:ilvl="8" w:tplc="04130005" w:tentative="1">
      <w:start w:val="1"/>
      <w:numFmt w:val="bullet"/>
      <w:lvlText w:val=""/>
      <w:lvlJc w:val="left"/>
      <w:pPr>
        <w:tabs>
          <w:tab w:val="num" w:pos="6140"/>
        </w:tabs>
        <w:ind w:left="6140" w:hanging="360"/>
      </w:pPr>
      <w:rPr>
        <w:rFonts w:ascii="Wingdings" w:hAnsi="Wingdings" w:hint="default"/>
      </w:rPr>
    </w:lvl>
  </w:abstractNum>
  <w:abstractNum w:abstractNumId="39" w15:restartNumberingAfterBreak="0">
    <w:nsid w:val="6E8D5B7A"/>
    <w:multiLevelType w:val="hybridMultilevel"/>
    <w:tmpl w:val="CD5CBE4E"/>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76F14195"/>
    <w:multiLevelType w:val="hybridMultilevel"/>
    <w:tmpl w:val="8BB665F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777341A6"/>
    <w:multiLevelType w:val="hybridMultilevel"/>
    <w:tmpl w:val="A9FA5A34"/>
    <w:lvl w:ilvl="0" w:tplc="DBB417BC">
      <w:start w:val="1"/>
      <w:numFmt w:val="decimal"/>
      <w:lvlText w:val="%1."/>
      <w:lvlJc w:val="left"/>
      <w:pPr>
        <w:tabs>
          <w:tab w:val="num" w:pos="360"/>
        </w:tabs>
        <w:ind w:left="360" w:hanging="360"/>
      </w:pPr>
      <w:rPr>
        <w:rFonts w:ascii="RotisSerif" w:hAnsi="RotisSerif" w:hint="default"/>
      </w:rPr>
    </w:lvl>
    <w:lvl w:ilvl="1" w:tplc="F0D476D6">
      <w:start w:val="1"/>
      <w:numFmt w:val="bullet"/>
      <w:lvlText w:val=""/>
      <w:lvlJc w:val="left"/>
      <w:pPr>
        <w:tabs>
          <w:tab w:val="num" w:pos="700"/>
        </w:tabs>
        <w:ind w:left="680" w:hanging="340"/>
      </w:pPr>
      <w:rPr>
        <w:rFonts w:ascii="Symbol" w:hAnsi="Symbol" w:hint="default"/>
      </w:rPr>
    </w:lvl>
    <w:lvl w:ilvl="2" w:tplc="0413000F">
      <w:start w:val="1"/>
      <w:numFmt w:val="decimal"/>
      <w:lvlText w:val="%3."/>
      <w:lvlJc w:val="left"/>
      <w:pPr>
        <w:tabs>
          <w:tab w:val="num" w:pos="1980"/>
        </w:tabs>
        <w:ind w:left="1980" w:hanging="36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2" w15:restartNumberingAfterBreak="0">
    <w:nsid w:val="7CAA6B00"/>
    <w:multiLevelType w:val="hybridMultilevel"/>
    <w:tmpl w:val="390CFD1A"/>
    <w:lvl w:ilvl="0" w:tplc="CD88942E">
      <w:start w:val="1"/>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8"/>
  </w:num>
  <w:num w:numId="2">
    <w:abstractNumId w:val="29"/>
  </w:num>
  <w:num w:numId="3">
    <w:abstractNumId w:val="2"/>
  </w:num>
  <w:num w:numId="4">
    <w:abstractNumId w:val="38"/>
  </w:num>
  <w:num w:numId="5">
    <w:abstractNumId w:val="41"/>
  </w:num>
  <w:num w:numId="6">
    <w:abstractNumId w:val="33"/>
  </w:num>
  <w:num w:numId="7">
    <w:abstractNumId w:val="27"/>
  </w:num>
  <w:num w:numId="8">
    <w:abstractNumId w:val="36"/>
  </w:num>
  <w:num w:numId="9">
    <w:abstractNumId w:val="26"/>
  </w:num>
  <w:num w:numId="10">
    <w:abstractNumId w:val="1"/>
  </w:num>
  <w:num w:numId="11">
    <w:abstractNumId w:val="40"/>
  </w:num>
  <w:num w:numId="12">
    <w:abstractNumId w:val="28"/>
  </w:num>
  <w:num w:numId="13">
    <w:abstractNumId w:val="4"/>
  </w:num>
  <w:num w:numId="14">
    <w:abstractNumId w:val="5"/>
  </w:num>
  <w:num w:numId="15">
    <w:abstractNumId w:val="31"/>
  </w:num>
  <w:num w:numId="16">
    <w:abstractNumId w:val="12"/>
  </w:num>
  <w:num w:numId="17">
    <w:abstractNumId w:val="6"/>
  </w:num>
  <w:num w:numId="18">
    <w:abstractNumId w:val="16"/>
  </w:num>
  <w:num w:numId="19">
    <w:abstractNumId w:val="0"/>
  </w:num>
  <w:num w:numId="20">
    <w:abstractNumId w:val="14"/>
  </w:num>
  <w:num w:numId="21">
    <w:abstractNumId w:val="19"/>
  </w:num>
  <w:num w:numId="22">
    <w:abstractNumId w:val="22"/>
  </w:num>
  <w:num w:numId="23">
    <w:abstractNumId w:val="30"/>
  </w:num>
  <w:num w:numId="24">
    <w:abstractNumId w:val="9"/>
  </w:num>
  <w:num w:numId="25">
    <w:abstractNumId w:val="21"/>
  </w:num>
  <w:num w:numId="26">
    <w:abstractNumId w:val="32"/>
  </w:num>
  <w:num w:numId="27">
    <w:abstractNumId w:val="35"/>
  </w:num>
  <w:num w:numId="28">
    <w:abstractNumId w:val="20"/>
  </w:num>
  <w:num w:numId="29">
    <w:abstractNumId w:val="17"/>
  </w:num>
  <w:num w:numId="30">
    <w:abstractNumId w:val="39"/>
  </w:num>
  <w:num w:numId="31">
    <w:abstractNumId w:val="34"/>
  </w:num>
  <w:num w:numId="32">
    <w:abstractNumId w:val="3"/>
  </w:num>
  <w:num w:numId="33">
    <w:abstractNumId w:val="42"/>
  </w:num>
  <w:num w:numId="34">
    <w:abstractNumId w:val="37"/>
  </w:num>
  <w:num w:numId="35">
    <w:abstractNumId w:val="7"/>
  </w:num>
  <w:num w:numId="36">
    <w:abstractNumId w:val="24"/>
  </w:num>
  <w:num w:numId="37">
    <w:abstractNumId w:val="25"/>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 w:numId="41">
    <w:abstractNumId w:val="23"/>
  </w:num>
  <w:num w:numId="42">
    <w:abstractNumId w:val="11"/>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565"/>
    <w:rsid w:val="00012BEB"/>
    <w:rsid w:val="0003080B"/>
    <w:rsid w:val="00044A19"/>
    <w:rsid w:val="00054F72"/>
    <w:rsid w:val="00071AD1"/>
    <w:rsid w:val="00082859"/>
    <w:rsid w:val="000B114E"/>
    <w:rsid w:val="000C7484"/>
    <w:rsid w:val="00140803"/>
    <w:rsid w:val="001556FD"/>
    <w:rsid w:val="001661B4"/>
    <w:rsid w:val="00172702"/>
    <w:rsid w:val="00176565"/>
    <w:rsid w:val="001A387D"/>
    <w:rsid w:val="001E1A63"/>
    <w:rsid w:val="001F0DC8"/>
    <w:rsid w:val="00222109"/>
    <w:rsid w:val="002338E8"/>
    <w:rsid w:val="002430E5"/>
    <w:rsid w:val="00263D01"/>
    <w:rsid w:val="00265EC9"/>
    <w:rsid w:val="00273E12"/>
    <w:rsid w:val="002B51F1"/>
    <w:rsid w:val="002C16FF"/>
    <w:rsid w:val="002E2EC1"/>
    <w:rsid w:val="002E6CC7"/>
    <w:rsid w:val="002F2854"/>
    <w:rsid w:val="002F600B"/>
    <w:rsid w:val="003014CE"/>
    <w:rsid w:val="00305F2B"/>
    <w:rsid w:val="00321EB5"/>
    <w:rsid w:val="003346CE"/>
    <w:rsid w:val="00336BBB"/>
    <w:rsid w:val="00345495"/>
    <w:rsid w:val="0039337F"/>
    <w:rsid w:val="003A3E4B"/>
    <w:rsid w:val="003C4998"/>
    <w:rsid w:val="003D23F0"/>
    <w:rsid w:val="00417D87"/>
    <w:rsid w:val="00422766"/>
    <w:rsid w:val="004439A7"/>
    <w:rsid w:val="00446F62"/>
    <w:rsid w:val="00451CB9"/>
    <w:rsid w:val="00457257"/>
    <w:rsid w:val="00472036"/>
    <w:rsid w:val="00487C18"/>
    <w:rsid w:val="004A3097"/>
    <w:rsid w:val="004E23C4"/>
    <w:rsid w:val="004F7054"/>
    <w:rsid w:val="00504EF9"/>
    <w:rsid w:val="005060BC"/>
    <w:rsid w:val="00507B95"/>
    <w:rsid w:val="00507E59"/>
    <w:rsid w:val="00517E44"/>
    <w:rsid w:val="005218D7"/>
    <w:rsid w:val="0053583F"/>
    <w:rsid w:val="00541594"/>
    <w:rsid w:val="005C5410"/>
    <w:rsid w:val="005D0F1F"/>
    <w:rsid w:val="006042F7"/>
    <w:rsid w:val="006076BE"/>
    <w:rsid w:val="006510B8"/>
    <w:rsid w:val="006575F4"/>
    <w:rsid w:val="00671898"/>
    <w:rsid w:val="0068154B"/>
    <w:rsid w:val="00697B96"/>
    <w:rsid w:val="006D2CC1"/>
    <w:rsid w:val="006E32BB"/>
    <w:rsid w:val="006E6C91"/>
    <w:rsid w:val="007052BA"/>
    <w:rsid w:val="0073589A"/>
    <w:rsid w:val="00745EFB"/>
    <w:rsid w:val="00761E2C"/>
    <w:rsid w:val="0077034B"/>
    <w:rsid w:val="00772282"/>
    <w:rsid w:val="00796058"/>
    <w:rsid w:val="007C031E"/>
    <w:rsid w:val="007C362C"/>
    <w:rsid w:val="00817157"/>
    <w:rsid w:val="0083337E"/>
    <w:rsid w:val="00857D65"/>
    <w:rsid w:val="00865AFE"/>
    <w:rsid w:val="00865B5A"/>
    <w:rsid w:val="008924A9"/>
    <w:rsid w:val="00892CDE"/>
    <w:rsid w:val="008B628C"/>
    <w:rsid w:val="008C71B5"/>
    <w:rsid w:val="008E0705"/>
    <w:rsid w:val="008E0A01"/>
    <w:rsid w:val="00941D02"/>
    <w:rsid w:val="009605A3"/>
    <w:rsid w:val="009637F8"/>
    <w:rsid w:val="00965010"/>
    <w:rsid w:val="00980E61"/>
    <w:rsid w:val="00980E8B"/>
    <w:rsid w:val="009838E4"/>
    <w:rsid w:val="00991727"/>
    <w:rsid w:val="009934E8"/>
    <w:rsid w:val="009B33EB"/>
    <w:rsid w:val="009C7501"/>
    <w:rsid w:val="00A043CD"/>
    <w:rsid w:val="00A07AC2"/>
    <w:rsid w:val="00A21C8A"/>
    <w:rsid w:val="00A65344"/>
    <w:rsid w:val="00A66543"/>
    <w:rsid w:val="00A73538"/>
    <w:rsid w:val="00A75839"/>
    <w:rsid w:val="00A94937"/>
    <w:rsid w:val="00AA63FB"/>
    <w:rsid w:val="00AB60BF"/>
    <w:rsid w:val="00AB7DC7"/>
    <w:rsid w:val="00B02BD1"/>
    <w:rsid w:val="00B1117F"/>
    <w:rsid w:val="00B12C3D"/>
    <w:rsid w:val="00B4792A"/>
    <w:rsid w:val="00B759AF"/>
    <w:rsid w:val="00B95B18"/>
    <w:rsid w:val="00B9730A"/>
    <w:rsid w:val="00BA44E9"/>
    <w:rsid w:val="00BB2EDD"/>
    <w:rsid w:val="00BB42B2"/>
    <w:rsid w:val="00BD42B7"/>
    <w:rsid w:val="00C01E72"/>
    <w:rsid w:val="00C16347"/>
    <w:rsid w:val="00C404F5"/>
    <w:rsid w:val="00C5438A"/>
    <w:rsid w:val="00C7792F"/>
    <w:rsid w:val="00CA3905"/>
    <w:rsid w:val="00CE743A"/>
    <w:rsid w:val="00CE7F4E"/>
    <w:rsid w:val="00D0339D"/>
    <w:rsid w:val="00D271EE"/>
    <w:rsid w:val="00D37E25"/>
    <w:rsid w:val="00D46A1A"/>
    <w:rsid w:val="00D500AC"/>
    <w:rsid w:val="00D516B0"/>
    <w:rsid w:val="00D55A0F"/>
    <w:rsid w:val="00DC3463"/>
    <w:rsid w:val="00E01EB8"/>
    <w:rsid w:val="00E02C5A"/>
    <w:rsid w:val="00E2238F"/>
    <w:rsid w:val="00E36CB2"/>
    <w:rsid w:val="00E54D07"/>
    <w:rsid w:val="00E576CF"/>
    <w:rsid w:val="00E94A0C"/>
    <w:rsid w:val="00EB5BF4"/>
    <w:rsid w:val="00EE4625"/>
    <w:rsid w:val="00EE4AC9"/>
    <w:rsid w:val="00F40731"/>
    <w:rsid w:val="00F848BC"/>
    <w:rsid w:val="00FC15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C5AF8"/>
  <w15:docId w15:val="{AF57935B-B2EB-43FC-82D5-4F183013C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76565"/>
    <w:rPr>
      <w:rFonts w:ascii="Verdana" w:eastAsia="Times New Roman" w:hAnsi="Verdana"/>
    </w:rPr>
  </w:style>
  <w:style w:type="paragraph" w:styleId="Kop1">
    <w:name w:val="heading 1"/>
    <w:basedOn w:val="Standaard"/>
    <w:link w:val="Kop1Char"/>
    <w:uiPriority w:val="9"/>
    <w:qFormat/>
    <w:rsid w:val="005C5410"/>
    <w:pPr>
      <w:spacing w:before="100" w:beforeAutospacing="1" w:after="100" w:afterAutospacing="1"/>
      <w:outlineLvl w:val="0"/>
    </w:pPr>
    <w:rPr>
      <w:rFonts w:ascii="Arial" w:hAnsi="Arial" w:cs="Arial"/>
      <w:b/>
      <w:bCs/>
      <w:kern w:val="36"/>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176565"/>
    <w:pPr>
      <w:tabs>
        <w:tab w:val="center" w:pos="4536"/>
        <w:tab w:val="right" w:pos="9072"/>
      </w:tabs>
    </w:pPr>
  </w:style>
  <w:style w:type="character" w:customStyle="1" w:styleId="VoettekstChar">
    <w:name w:val="Voettekst Char"/>
    <w:link w:val="Voettekst"/>
    <w:uiPriority w:val="99"/>
    <w:rsid w:val="00176565"/>
    <w:rPr>
      <w:rFonts w:ascii="Verdana" w:eastAsia="Times New Roman" w:hAnsi="Verdana" w:cs="Times New Roman"/>
      <w:sz w:val="20"/>
      <w:szCs w:val="20"/>
      <w:lang w:eastAsia="nl-NL"/>
    </w:rPr>
  </w:style>
  <w:style w:type="character" w:styleId="Paginanummer">
    <w:name w:val="page number"/>
    <w:basedOn w:val="Standaardalinea-lettertype"/>
    <w:rsid w:val="00176565"/>
  </w:style>
  <w:style w:type="character" w:customStyle="1" w:styleId="headingm">
    <w:name w:val="headingm"/>
    <w:basedOn w:val="Standaardalinea-lettertype"/>
    <w:rsid w:val="00176565"/>
  </w:style>
  <w:style w:type="paragraph" w:styleId="Koptekst">
    <w:name w:val="header"/>
    <w:basedOn w:val="Standaard"/>
    <w:link w:val="KoptekstChar"/>
    <w:uiPriority w:val="99"/>
    <w:unhideWhenUsed/>
    <w:rsid w:val="00E2238F"/>
    <w:pPr>
      <w:tabs>
        <w:tab w:val="center" w:pos="4536"/>
        <w:tab w:val="right" w:pos="9072"/>
      </w:tabs>
    </w:pPr>
  </w:style>
  <w:style w:type="character" w:customStyle="1" w:styleId="KoptekstChar">
    <w:name w:val="Koptekst Char"/>
    <w:link w:val="Koptekst"/>
    <w:uiPriority w:val="99"/>
    <w:rsid w:val="00E2238F"/>
    <w:rPr>
      <w:rFonts w:ascii="Verdana" w:eastAsia="Times New Roman" w:hAnsi="Verdana"/>
    </w:rPr>
  </w:style>
  <w:style w:type="character" w:styleId="Hyperlink">
    <w:name w:val="Hyperlink"/>
    <w:uiPriority w:val="99"/>
    <w:unhideWhenUsed/>
    <w:rsid w:val="00C5438A"/>
    <w:rPr>
      <w:color w:val="0000FF"/>
      <w:u w:val="single"/>
    </w:rPr>
  </w:style>
  <w:style w:type="character" w:styleId="GevolgdeHyperlink">
    <w:name w:val="FollowedHyperlink"/>
    <w:uiPriority w:val="99"/>
    <w:semiHidden/>
    <w:unhideWhenUsed/>
    <w:rsid w:val="00C5438A"/>
    <w:rPr>
      <w:color w:val="800080"/>
      <w:u w:val="single"/>
    </w:rPr>
  </w:style>
  <w:style w:type="paragraph" w:styleId="Geenafstand">
    <w:name w:val="No Spacing"/>
    <w:uiPriority w:val="1"/>
    <w:qFormat/>
    <w:rsid w:val="0003080B"/>
    <w:rPr>
      <w:sz w:val="22"/>
      <w:szCs w:val="22"/>
      <w:lang w:eastAsia="en-US"/>
    </w:rPr>
  </w:style>
  <w:style w:type="character" w:styleId="Nadruk">
    <w:name w:val="Emphasis"/>
    <w:qFormat/>
    <w:rsid w:val="0003080B"/>
    <w:rPr>
      <w:i/>
      <w:iCs/>
    </w:rPr>
  </w:style>
  <w:style w:type="character" w:customStyle="1" w:styleId="Standaardvet">
    <w:name w:val="Standaard_vet"/>
    <w:rsid w:val="00865AFE"/>
    <w:rPr>
      <w:rFonts w:ascii="RotisSemiSans ExtraBold" w:hAnsi="RotisSemiSans ExtraBold"/>
      <w:sz w:val="19"/>
    </w:rPr>
  </w:style>
  <w:style w:type="paragraph" w:styleId="Ballontekst">
    <w:name w:val="Balloon Text"/>
    <w:basedOn w:val="Standaard"/>
    <w:link w:val="BallontekstChar"/>
    <w:uiPriority w:val="99"/>
    <w:semiHidden/>
    <w:unhideWhenUsed/>
    <w:rsid w:val="00E54D07"/>
    <w:rPr>
      <w:rFonts w:ascii="Tahoma" w:hAnsi="Tahoma" w:cs="Tahoma"/>
      <w:sz w:val="16"/>
      <w:szCs w:val="16"/>
    </w:rPr>
  </w:style>
  <w:style w:type="character" w:customStyle="1" w:styleId="BallontekstChar">
    <w:name w:val="Ballontekst Char"/>
    <w:link w:val="Ballontekst"/>
    <w:uiPriority w:val="99"/>
    <w:semiHidden/>
    <w:rsid w:val="00E54D07"/>
    <w:rPr>
      <w:rFonts w:ascii="Tahoma" w:eastAsia="Times New Roman" w:hAnsi="Tahoma" w:cs="Tahoma"/>
      <w:sz w:val="16"/>
      <w:szCs w:val="16"/>
    </w:rPr>
  </w:style>
  <w:style w:type="character" w:customStyle="1" w:styleId="Kop1Char">
    <w:name w:val="Kop 1 Char"/>
    <w:link w:val="Kop1"/>
    <w:uiPriority w:val="9"/>
    <w:rsid w:val="005C5410"/>
    <w:rPr>
      <w:rFonts w:ascii="Arial" w:eastAsia="Times New Roman" w:hAnsi="Arial" w:cs="Arial"/>
      <w:b/>
      <w:bCs/>
      <w:kern w:val="36"/>
      <w:sz w:val="33"/>
      <w:szCs w:val="33"/>
    </w:rPr>
  </w:style>
  <w:style w:type="paragraph" w:styleId="Lijstalinea">
    <w:name w:val="List Paragraph"/>
    <w:basedOn w:val="Standaard"/>
    <w:uiPriority w:val="34"/>
    <w:qFormat/>
    <w:rsid w:val="004F7054"/>
    <w:pPr>
      <w:ind w:left="720"/>
      <w:contextualSpacing/>
    </w:pPr>
  </w:style>
  <w:style w:type="paragraph" w:styleId="Tekstzonderopmaak">
    <w:name w:val="Plain Text"/>
    <w:basedOn w:val="Standaard"/>
    <w:link w:val="TekstzonderopmaakChar"/>
    <w:uiPriority w:val="99"/>
    <w:unhideWhenUsed/>
    <w:rsid w:val="006510B8"/>
    <w:rPr>
      <w:rFonts w:ascii="Consolas" w:eastAsiaTheme="minorHAnsi" w:hAnsi="Consolas" w:cs="Consolas"/>
      <w:sz w:val="21"/>
      <w:szCs w:val="21"/>
      <w:lang w:eastAsia="en-US"/>
    </w:rPr>
  </w:style>
  <w:style w:type="character" w:customStyle="1" w:styleId="TekstzonderopmaakChar">
    <w:name w:val="Tekst zonder opmaak Char"/>
    <w:basedOn w:val="Standaardalinea-lettertype"/>
    <w:link w:val="Tekstzonderopmaak"/>
    <w:uiPriority w:val="99"/>
    <w:rsid w:val="006510B8"/>
    <w:rPr>
      <w:rFonts w:ascii="Consolas" w:eastAsiaTheme="minorHAnsi" w:hAnsi="Consolas" w:cs="Consolas"/>
      <w:sz w:val="21"/>
      <w:szCs w:val="21"/>
      <w:lang w:eastAsia="en-US"/>
    </w:rPr>
  </w:style>
  <w:style w:type="table" w:styleId="Tabelraster">
    <w:name w:val="Table Grid"/>
    <w:basedOn w:val="Standaardtabel"/>
    <w:uiPriority w:val="59"/>
    <w:rsid w:val="00FC15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17B22DD0D6B04399B8B86904848CBA" ma:contentTypeVersion="11" ma:contentTypeDescription="Een nieuw document maken." ma:contentTypeScope="" ma:versionID="4a3fd3d13dc5d51a8761927e0537d759">
  <xsd:schema xmlns:xsd="http://www.w3.org/2001/XMLSchema" xmlns:xs="http://www.w3.org/2001/XMLSchema" xmlns:p="http://schemas.microsoft.com/office/2006/metadata/properties" xmlns:ns2="415f3d33-6488-4687-bca3-3e8a013883e3" xmlns:ns3="abb206cb-5940-4aca-9bfa-a09ef5d83e0f" targetNamespace="http://schemas.microsoft.com/office/2006/metadata/properties" ma:root="true" ma:fieldsID="afae368128e0ced383e5b60a58f67d6d" ns2:_="" ns3:_="">
    <xsd:import namespace="415f3d33-6488-4687-bca3-3e8a013883e3"/>
    <xsd:import namespace="abb206cb-5940-4aca-9bfa-a09ef5d83e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f3d33-6488-4687-bca3-3e8a0138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206cb-5940-4aca-9bfa-a09ef5d83e0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5D45A4-A9D9-4EFC-BD13-DA31041E3C29}">
  <ds:schemaRefs>
    <ds:schemaRef ds:uri="http://schemas.openxmlformats.org/officeDocument/2006/bibliography"/>
  </ds:schemaRefs>
</ds:datastoreItem>
</file>

<file path=customXml/itemProps2.xml><?xml version="1.0" encoding="utf-8"?>
<ds:datastoreItem xmlns:ds="http://schemas.openxmlformats.org/officeDocument/2006/customXml" ds:itemID="{F0F18017-BD9D-4816-BC35-03EA98235BCC}"/>
</file>

<file path=customXml/itemProps3.xml><?xml version="1.0" encoding="utf-8"?>
<ds:datastoreItem xmlns:ds="http://schemas.openxmlformats.org/officeDocument/2006/customXml" ds:itemID="{FF99808A-37C2-4368-94F4-01B278D84409}"/>
</file>

<file path=customXml/itemProps4.xml><?xml version="1.0" encoding="utf-8"?>
<ds:datastoreItem xmlns:ds="http://schemas.openxmlformats.org/officeDocument/2006/customXml" ds:itemID="{C3E526BB-F01F-4FE5-AEC9-64A6F2C2C1B2}"/>
</file>

<file path=docProps/app.xml><?xml version="1.0" encoding="utf-8"?>
<Properties xmlns="http://schemas.openxmlformats.org/officeDocument/2006/extended-properties" xmlns:vt="http://schemas.openxmlformats.org/officeDocument/2006/docPropsVTypes">
  <Template>Normal.dotm</Template>
  <TotalTime>0</TotalTime>
  <Pages>2</Pages>
  <Words>631</Words>
  <Characters>3475</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Scalamedia BV</Company>
  <LinksUpToDate>false</LinksUpToDate>
  <CharactersWithSpaces>4098</CharactersWithSpaces>
  <SharedDoc>false</SharedDoc>
  <HLinks>
    <vt:vector size="6" baseType="variant">
      <vt:variant>
        <vt:i4>262212</vt:i4>
      </vt:variant>
      <vt:variant>
        <vt:i4>0</vt:i4>
      </vt:variant>
      <vt:variant>
        <vt:i4>0</vt:i4>
      </vt:variant>
      <vt:variant>
        <vt:i4>5</vt:i4>
      </vt:variant>
      <vt:variant>
        <vt:lpwstr>http://www.eindexamensite.nl/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dc:creator>
  <cp:keywords/>
  <dc:description/>
  <cp:lastModifiedBy>scalamedia</cp:lastModifiedBy>
  <cp:revision>2</cp:revision>
  <cp:lastPrinted>2016-09-19T13:25:00Z</cp:lastPrinted>
  <dcterms:created xsi:type="dcterms:W3CDTF">2020-02-03T08:16:00Z</dcterms:created>
  <dcterms:modified xsi:type="dcterms:W3CDTF">2020-02-03T08:16:00Z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0x010100CE17B22DD0D6B04399B8B86904848CBA</vt:lpwstr>
  </property>
  <property fmtid="{D5CDD505-2E9C-101B-9397-08002B2CF9AE}" pid="3" name="Order">
    <vt:r8>22057000</vt:r8>
  </property>
</Properties>
</file>